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shd w:val="clear" w:color="auto" w:fill="FFFFFF"/>
        </w:rPr>
      </w:pPr>
      <w:r>
        <w:rPr>
          <w:rFonts w:hint="eastAsia" w:ascii="仿宋" w:hAnsi="仿宋" w:eastAsia="仿宋" w:cs="仿宋"/>
          <w:b/>
          <w:bCs/>
          <w:sz w:val="44"/>
          <w:szCs w:val="44"/>
          <w:shd w:val="clear" w:color="auto" w:fill="FFFFFF"/>
        </w:rPr>
        <w:t>株洲市社会组织财务管理指引</w:t>
      </w:r>
    </w:p>
    <w:p>
      <w:pPr>
        <w:widowControl/>
        <w:spacing w:line="420" w:lineRule="atLeast"/>
        <w:jc w:val="center"/>
        <w:rPr>
          <w:rFonts w:ascii="仿宋" w:hAnsi="仿宋" w:eastAsia="仿宋" w:cs="仿宋"/>
          <w:b/>
          <w:bCs/>
          <w:kern w:val="0"/>
          <w:sz w:val="32"/>
          <w:szCs w:val="32"/>
        </w:rPr>
      </w:pPr>
    </w:p>
    <w:p>
      <w:pPr>
        <w:widowControl/>
        <w:spacing w:line="420" w:lineRule="atLeast"/>
        <w:jc w:val="center"/>
        <w:rPr>
          <w:rFonts w:ascii="仿宋" w:hAnsi="仿宋" w:eastAsia="仿宋" w:cs="仿宋"/>
          <w:b/>
          <w:bCs/>
          <w:kern w:val="0"/>
          <w:sz w:val="32"/>
          <w:szCs w:val="32"/>
        </w:rPr>
      </w:pPr>
      <w:r>
        <w:rPr>
          <w:rFonts w:hint="eastAsia" w:ascii="仿宋" w:hAnsi="仿宋" w:eastAsia="仿宋" w:cs="仿宋"/>
          <w:b/>
          <w:bCs/>
          <w:kern w:val="0"/>
          <w:sz w:val="32"/>
          <w:szCs w:val="32"/>
        </w:rPr>
        <w:t>第一章 总则</w:t>
      </w:r>
    </w:p>
    <w:p>
      <w:pPr>
        <w:jc w:val="center"/>
        <w:rPr>
          <w:rFonts w:ascii="仿宋" w:hAnsi="仿宋" w:eastAsia="仿宋" w:cs="仿宋"/>
          <w:b/>
          <w:bCs/>
          <w:sz w:val="44"/>
          <w:szCs w:val="44"/>
          <w:shd w:val="clear" w:color="auto" w:fill="FFFFFF"/>
        </w:rPr>
      </w:pPr>
    </w:p>
    <w:p>
      <w:pPr>
        <w:widowControl/>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shd w:val="clear" w:color="auto" w:fill="FFFFFF"/>
        </w:rPr>
        <w:t>第一条</w:t>
      </w:r>
      <w:r>
        <w:rPr>
          <w:rFonts w:hint="eastAsia" w:ascii="宋体" w:hAnsi="宋体" w:eastAsia="宋体" w:cs="宋体"/>
          <w:b/>
          <w:kern w:val="0"/>
          <w:sz w:val="28"/>
          <w:szCs w:val="28"/>
          <w:shd w:val="clear" w:color="auto" w:fill="FFFFFF"/>
        </w:rPr>
        <w:t xml:space="preserve">  </w:t>
      </w:r>
      <w:r>
        <w:rPr>
          <w:rFonts w:hint="eastAsia" w:ascii="仿宋" w:hAnsi="仿宋" w:eastAsia="仿宋" w:cs="仿宋"/>
          <w:kern w:val="0"/>
          <w:sz w:val="28"/>
          <w:szCs w:val="28"/>
          <w:shd w:val="clear" w:color="auto" w:fill="FFFFFF"/>
        </w:rPr>
        <w:t>为规范社会组织财务行为，加强社会组织财务管理，促进社会组织健康有序发展，根据《中华人民共和国会计法》《民间非营利组织会计制度》</w:t>
      </w:r>
      <w:r>
        <w:rPr>
          <w:rFonts w:hint="eastAsia" w:ascii="仿宋" w:hAnsi="仿宋" w:eastAsia="仿宋" w:cs="仿宋"/>
          <w:kern w:val="0"/>
          <w:sz w:val="28"/>
          <w:szCs w:val="28"/>
        </w:rPr>
        <w:t>《湖南省社会团体财务管理办法》</w:t>
      </w:r>
      <w:r>
        <w:rPr>
          <w:rFonts w:hint="eastAsia" w:ascii="仿宋" w:hAnsi="仿宋" w:eastAsia="仿宋" w:cs="仿宋"/>
          <w:kern w:val="0"/>
          <w:sz w:val="28"/>
          <w:szCs w:val="28"/>
          <w:shd w:val="clear" w:color="auto" w:fill="FFFFFF"/>
        </w:rPr>
        <w:t>等法律法规，</w:t>
      </w:r>
      <w:r>
        <w:rPr>
          <w:rFonts w:hint="eastAsia" w:ascii="仿宋" w:hAnsi="仿宋" w:eastAsia="仿宋" w:cs="仿宋"/>
          <w:kern w:val="0"/>
          <w:sz w:val="28"/>
          <w:szCs w:val="28"/>
        </w:rPr>
        <w:t>结合本市实际，制定本办法。</w:t>
      </w:r>
    </w:p>
    <w:p>
      <w:pPr>
        <w:widowControl/>
        <w:spacing w:line="420" w:lineRule="atLeast"/>
        <w:jc w:val="center"/>
        <w:rPr>
          <w:rFonts w:ascii="仿宋" w:hAnsi="仿宋" w:eastAsia="仿宋" w:cs="仿宋"/>
          <w:b/>
          <w:bCs/>
          <w:kern w:val="0"/>
          <w:sz w:val="32"/>
          <w:szCs w:val="32"/>
        </w:rPr>
      </w:pPr>
      <w:r>
        <w:rPr>
          <w:rFonts w:hint="eastAsia" w:ascii="仿宋" w:hAnsi="仿宋" w:eastAsia="仿宋" w:cs="仿宋"/>
          <w:b/>
          <w:bCs/>
          <w:kern w:val="0"/>
          <w:sz w:val="32"/>
          <w:szCs w:val="32"/>
        </w:rPr>
        <w:t>第二章 财务机构与财务人员</w:t>
      </w:r>
    </w:p>
    <w:p>
      <w:pPr>
        <w:widowControl/>
        <w:jc w:val="center"/>
        <w:rPr>
          <w:rFonts w:ascii="仿宋" w:hAnsi="仿宋" w:eastAsia="仿宋" w:cs="仿宋"/>
          <w:b/>
          <w:bCs/>
          <w:kern w:val="0"/>
          <w:sz w:val="32"/>
          <w:szCs w:val="32"/>
          <w:shd w:val="clear" w:color="auto" w:fill="FFFFFF"/>
          <w:lang w:bidi="ar"/>
        </w:rPr>
      </w:pPr>
    </w:p>
    <w:p>
      <w:pPr>
        <w:pStyle w:val="2"/>
        <w:tabs>
          <w:tab w:val="left" w:pos="540"/>
        </w:tabs>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第二条  </w:t>
      </w:r>
      <w:r>
        <w:rPr>
          <w:rFonts w:hint="eastAsia" w:ascii="仿宋" w:hAnsi="仿宋" w:eastAsia="仿宋" w:cs="仿宋"/>
          <w:kern w:val="0"/>
          <w:sz w:val="28"/>
          <w:szCs w:val="28"/>
          <w:shd w:val="clear" w:color="auto" w:fill="FFFFFF"/>
          <w:lang w:bidi="ar"/>
        </w:rPr>
        <w:t>社会组织应当根据业务的需要，设置财务机构，配备具有专业资格的财务人员2名，分别担任会计和出纳。会计不得兼任出纳，会计管账不管钱，出纳管钱不管账。不具备设置条件的，应当委托经批准设立的会计师事务所、从事代理记账业务的中介机构代理记账,</w:t>
      </w:r>
      <w:r>
        <w:rPr>
          <w:rFonts w:ascii="仿宋" w:hAnsi="仿宋" w:eastAsia="仿宋" w:cs="仿宋"/>
          <w:kern w:val="0"/>
          <w:sz w:val="28"/>
          <w:szCs w:val="28"/>
          <w:shd w:val="clear" w:color="auto" w:fill="FFFFFF"/>
          <w:lang w:bidi="ar"/>
        </w:rPr>
        <w:t xml:space="preserve"> </w:t>
      </w:r>
      <w:r>
        <w:rPr>
          <w:rFonts w:hint="eastAsia" w:ascii="仿宋" w:hAnsi="仿宋" w:eastAsia="仿宋" w:cs="仿宋"/>
          <w:kern w:val="0"/>
          <w:sz w:val="28"/>
          <w:szCs w:val="28"/>
          <w:shd w:val="clear" w:color="auto" w:fill="FFFFFF"/>
          <w:lang w:eastAsia="zh-CN" w:bidi="ar"/>
        </w:rPr>
        <w:t>统一</w:t>
      </w:r>
      <w:r>
        <w:rPr>
          <w:rFonts w:hint="eastAsia" w:ascii="仿宋" w:hAnsi="仿宋" w:eastAsia="仿宋" w:cs="仿宋"/>
          <w:kern w:val="0"/>
          <w:sz w:val="28"/>
          <w:szCs w:val="28"/>
          <w:shd w:val="clear" w:color="auto" w:fill="FFFFFF"/>
          <w:lang w:bidi="ar"/>
        </w:rPr>
        <w:t>使用社会组织专用财务软件进行会计核算。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第三条</w:t>
      </w:r>
      <w:r>
        <w:rPr>
          <w:rFonts w:hint="eastAsia" w:ascii="宋体" w:hAnsi="宋体" w:eastAsia="宋体" w:cs="宋体"/>
          <w:kern w:val="0"/>
          <w:sz w:val="28"/>
          <w:szCs w:val="28"/>
          <w:shd w:val="clear" w:color="auto" w:fill="FFFFFF"/>
          <w:lang w:bidi="ar"/>
        </w:rPr>
        <w:t> </w:t>
      </w:r>
      <w:r>
        <w:rPr>
          <w:rFonts w:hint="eastAsia" w:ascii="仿宋" w:hAnsi="仿宋" w:eastAsia="仿宋" w:cs="仿宋"/>
          <w:b w:val="0"/>
          <w:i w:val="0"/>
          <w:caps w:val="0"/>
          <w:color w:val="333333"/>
          <w:spacing w:val="0"/>
          <w:sz w:val="28"/>
          <w:szCs w:val="28"/>
          <w:shd w:val="clear" w:fill="FFFFFF"/>
        </w:rPr>
        <w:t>  社会组织应按照《民间非营利组织会计制度》规定，设置会计科目，建立会计</w:t>
      </w:r>
      <w:r>
        <w:rPr>
          <w:rFonts w:hint="eastAsia" w:ascii="仿宋" w:hAnsi="仿宋" w:eastAsia="仿宋" w:cs="仿宋"/>
          <w:b w:val="0"/>
          <w:i w:val="0"/>
          <w:caps w:val="0"/>
          <w:color w:val="333333"/>
          <w:spacing w:val="0"/>
          <w:sz w:val="28"/>
          <w:szCs w:val="28"/>
          <w:shd w:val="clear" w:fill="FFFFFF"/>
          <w:lang w:val="en-US" w:eastAsia="zh-CN"/>
        </w:rPr>
        <w:t>账</w:t>
      </w:r>
      <w:r>
        <w:rPr>
          <w:rFonts w:hint="eastAsia" w:ascii="仿宋" w:hAnsi="仿宋" w:eastAsia="仿宋" w:cs="仿宋"/>
          <w:b w:val="0"/>
          <w:i w:val="0"/>
          <w:caps w:val="0"/>
          <w:color w:val="333333"/>
          <w:spacing w:val="0"/>
          <w:sz w:val="28"/>
          <w:szCs w:val="28"/>
          <w:shd w:val="clear" w:fill="FFFFFF"/>
        </w:rPr>
        <w:t>薄，进行会计核算，及时</w:t>
      </w:r>
      <w:r>
        <w:rPr>
          <w:rFonts w:hint="eastAsia" w:ascii="仿宋" w:hAnsi="仿宋" w:eastAsia="仿宋" w:cs="仿宋"/>
          <w:b w:val="0"/>
          <w:i w:val="0"/>
          <w:caps w:val="0"/>
          <w:color w:val="333333"/>
          <w:spacing w:val="0"/>
          <w:sz w:val="28"/>
          <w:szCs w:val="28"/>
          <w:shd w:val="clear" w:fill="FFFFFF"/>
          <w:lang w:val="en-US" w:eastAsia="zh-CN"/>
        </w:rPr>
        <w:t>编制财务报告</w:t>
      </w:r>
      <w:r>
        <w:rPr>
          <w:rFonts w:hint="eastAsia" w:ascii="仿宋" w:hAnsi="仿宋" w:eastAsia="仿宋" w:cs="仿宋"/>
          <w:b w:val="0"/>
          <w:i w:val="0"/>
          <w:caps w:val="0"/>
          <w:color w:val="333333"/>
          <w:spacing w:val="0"/>
          <w:sz w:val="28"/>
          <w:szCs w:val="28"/>
          <w:shd w:val="clear" w:fill="FFFFFF"/>
        </w:rPr>
        <w:t>。</w:t>
      </w:r>
      <w:r>
        <w:rPr>
          <w:rFonts w:hint="eastAsia" w:ascii="仿宋" w:hAnsi="仿宋" w:eastAsia="仿宋" w:cs="仿宋"/>
          <w:kern w:val="0"/>
          <w:sz w:val="28"/>
          <w:szCs w:val="28"/>
          <w:shd w:val="clear" w:color="auto" w:fill="FFFFFF"/>
          <w:lang w:bidi="ar"/>
        </w:rPr>
        <w:t>社会组织财务人员工作调动或离职时，必须按《会计基础工作规范》规定办理财务移交手续。</w:t>
      </w:r>
    </w:p>
    <w:p>
      <w:pPr>
        <w:widowControl/>
        <w:jc w:val="center"/>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第三章</w:t>
      </w:r>
      <w:r>
        <w:rPr>
          <w:rFonts w:hint="eastAsia" w:ascii="宋体" w:hAnsi="宋体" w:eastAsia="宋体" w:cs="宋体"/>
          <w:b/>
          <w:bCs/>
          <w:kern w:val="0"/>
          <w:sz w:val="32"/>
          <w:szCs w:val="32"/>
          <w:shd w:val="clear" w:color="auto" w:fill="FFFFFF"/>
          <w:lang w:bidi="ar"/>
        </w:rPr>
        <w:t> </w:t>
      </w:r>
      <w:r>
        <w:rPr>
          <w:rFonts w:hint="eastAsia" w:ascii="仿宋" w:hAnsi="仿宋" w:eastAsia="仿宋" w:cs="仿宋"/>
          <w:b/>
          <w:bCs/>
          <w:kern w:val="0"/>
          <w:sz w:val="32"/>
          <w:szCs w:val="32"/>
          <w:shd w:val="clear" w:color="auto" w:fill="FFFFFF"/>
          <w:lang w:bidi="ar"/>
        </w:rPr>
        <w:t>收入管理</w:t>
      </w:r>
    </w:p>
    <w:p>
      <w:pPr>
        <w:widowControl/>
        <w:jc w:val="center"/>
        <w:rPr>
          <w:rFonts w:ascii="仿宋" w:hAnsi="仿宋" w:eastAsia="仿宋" w:cs="仿宋"/>
          <w:b/>
          <w:bCs/>
          <w:sz w:val="32"/>
          <w:szCs w:val="32"/>
        </w:rPr>
      </w:pPr>
    </w:p>
    <w:p>
      <w:pPr>
        <w:widowControl/>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第四条 </w:t>
      </w:r>
      <w:r>
        <w:rPr>
          <w:rFonts w:hint="eastAsia" w:ascii="仿宋" w:hAnsi="仿宋" w:eastAsia="仿宋" w:cs="仿宋"/>
          <w:kern w:val="0"/>
          <w:sz w:val="28"/>
          <w:szCs w:val="28"/>
          <w:shd w:val="clear" w:color="auto" w:fill="FFFFFF"/>
          <w:lang w:bidi="ar"/>
        </w:rPr>
        <w:t xml:space="preserve"> 社会组织</w:t>
      </w:r>
      <w:r>
        <w:rPr>
          <w:rFonts w:ascii="仿宋" w:hAnsi="仿宋" w:eastAsia="仿宋" w:cs="仿宋"/>
          <w:kern w:val="0"/>
          <w:sz w:val="28"/>
          <w:szCs w:val="28"/>
          <w:shd w:val="clear" w:color="auto" w:fill="FFFFFF"/>
          <w:lang w:bidi="ar"/>
        </w:rPr>
        <w:t>按章程、</w:t>
      </w:r>
      <w:r>
        <w:rPr>
          <w:rFonts w:hint="eastAsia" w:ascii="仿宋" w:hAnsi="仿宋" w:eastAsia="仿宋" w:cs="仿宋"/>
          <w:kern w:val="0"/>
          <w:sz w:val="28"/>
          <w:szCs w:val="28"/>
          <w:shd w:val="clear" w:color="auto" w:fill="FFFFFF"/>
          <w:lang w:eastAsia="zh-CN" w:bidi="ar"/>
        </w:rPr>
        <w:t>株洲市民政局</w:t>
      </w:r>
      <w:r>
        <w:rPr>
          <w:rFonts w:ascii="仿宋" w:hAnsi="仿宋" w:eastAsia="仿宋" w:cs="仿宋"/>
          <w:kern w:val="0"/>
          <w:sz w:val="28"/>
          <w:szCs w:val="28"/>
          <w:shd w:val="clear" w:color="auto" w:fill="FFFFFF"/>
          <w:lang w:bidi="ar"/>
        </w:rPr>
        <w:t>核准的业务活动范围，合法收取会员单位会费及有偿服务费等。严格按照章程规定的业务范围和事业发展需要进行开支</w:t>
      </w:r>
      <w:r>
        <w:rPr>
          <w:rFonts w:hint="eastAsia" w:ascii="仿宋" w:hAnsi="仿宋" w:eastAsia="仿宋" w:cs="仿宋"/>
          <w:kern w:val="0"/>
          <w:sz w:val="28"/>
          <w:szCs w:val="28"/>
          <w:shd w:val="clear" w:color="auto" w:fill="FFFFFF"/>
          <w:lang w:bidi="ar"/>
        </w:rPr>
        <w:t>并</w:t>
      </w:r>
      <w:r>
        <w:rPr>
          <w:rFonts w:ascii="仿宋" w:hAnsi="仿宋" w:eastAsia="仿宋" w:cs="仿宋"/>
          <w:kern w:val="0"/>
          <w:sz w:val="28"/>
          <w:szCs w:val="28"/>
          <w:shd w:val="clear" w:color="auto" w:fill="FFFFFF"/>
          <w:lang w:bidi="ar"/>
        </w:rPr>
        <w:t>按国家规定缴纳各项税费。</w:t>
      </w:r>
      <w:r>
        <w:rPr>
          <w:rFonts w:hint="eastAsia" w:ascii="仿宋" w:hAnsi="仿宋" w:eastAsia="仿宋" w:cs="仿宋"/>
          <w:kern w:val="0"/>
          <w:sz w:val="28"/>
          <w:szCs w:val="28"/>
          <w:shd w:val="clear" w:color="auto" w:fill="FFFFFF"/>
          <w:lang w:bidi="ar"/>
        </w:rPr>
        <w:t>收入来源如下列：</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1、会费收入（按国家规定开具社会团体专用票据）；</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 xml:space="preserve">2、捐赠收入； </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3、政府资助收入；</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4、在协会章程核准的业务范围内开展的活动或服务收入；</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5、银行存款利息；</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6、其他合法收入。</w:t>
      </w:r>
    </w:p>
    <w:p>
      <w:pPr>
        <w:ind w:firstLine="562" w:firstLineChars="200"/>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第五条 </w:t>
      </w:r>
      <w:r>
        <w:rPr>
          <w:rFonts w:hint="eastAsia" w:ascii="仿宋" w:hAnsi="仿宋" w:eastAsia="仿宋" w:cs="仿宋"/>
          <w:kern w:val="0"/>
          <w:sz w:val="28"/>
          <w:szCs w:val="28"/>
          <w:shd w:val="clear" w:color="auto" w:fill="FFFFFF"/>
          <w:lang w:bidi="ar"/>
        </w:rPr>
        <w:t xml:space="preserve"> 社会组织可以向个人会员和单位会员收取会费，社会组织收取会费必须经会员大会无记名表决通过，且会费标准不得具有浮动性。会费标准应当依据章程规定的业务范围、工作成本和会员的承受能力合理确定，一般不超过4级，按明确金额收取。对同一档次不得再细分不同收费标准。</w:t>
      </w:r>
    </w:p>
    <w:p>
      <w:pPr>
        <w:widowControl/>
        <w:jc w:val="left"/>
        <w:rPr>
          <w:rFonts w:ascii="仿宋" w:hAnsi="仿宋" w:eastAsia="仿宋" w:cs="仿宋"/>
          <w:kern w:val="0"/>
          <w:sz w:val="28"/>
          <w:szCs w:val="28"/>
          <w:lang w:bidi="ar"/>
        </w:rPr>
      </w:pPr>
      <w:r>
        <w:rPr>
          <w:rFonts w:hint="eastAsia" w:ascii="仿宋" w:hAnsi="仿宋" w:eastAsia="仿宋" w:cs="仿宋"/>
          <w:kern w:val="0"/>
          <w:sz w:val="28"/>
          <w:szCs w:val="28"/>
          <w:shd w:val="clear" w:color="auto" w:fill="FFFFFF"/>
          <w:lang w:bidi="ar"/>
        </w:rPr>
        <w:t xml:space="preserve">   </w:t>
      </w:r>
      <w:r>
        <w:rPr>
          <w:rFonts w:hint="eastAsia" w:ascii="仿宋" w:hAnsi="仿宋" w:eastAsia="仿宋" w:cs="仿宋"/>
          <w:b/>
          <w:bCs/>
          <w:kern w:val="0"/>
          <w:sz w:val="28"/>
          <w:szCs w:val="28"/>
          <w:shd w:val="clear" w:color="auto" w:fill="FFFFFF"/>
          <w:lang w:bidi="ar"/>
        </w:rPr>
        <w:t xml:space="preserve">第六条  </w:t>
      </w:r>
      <w:r>
        <w:rPr>
          <w:rFonts w:hint="eastAsia" w:ascii="仿宋" w:hAnsi="仿宋" w:eastAsia="仿宋" w:cs="仿宋"/>
          <w:kern w:val="0"/>
          <w:sz w:val="28"/>
          <w:szCs w:val="28"/>
          <w:shd w:val="clear" w:color="auto" w:fill="FFFFFF"/>
          <w:lang w:bidi="ar"/>
        </w:rPr>
        <w:t>社会组织接受社会捐赠（资助）应坚持自愿和无偿的原则，</w:t>
      </w:r>
      <w:r>
        <w:rPr>
          <w:rFonts w:hint="eastAsia" w:ascii="仿宋" w:hAnsi="仿宋" w:eastAsia="仿宋" w:cs="仿宋"/>
          <w:kern w:val="0"/>
          <w:sz w:val="28"/>
          <w:szCs w:val="28"/>
          <w:lang w:bidi="ar"/>
        </w:rPr>
        <w:t>必须符合章程规定的宗旨和业务范围，</w:t>
      </w:r>
      <w:r>
        <w:rPr>
          <w:rFonts w:hint="eastAsia" w:ascii="仿宋" w:hAnsi="仿宋" w:eastAsia="仿宋" w:cs="仿宋"/>
          <w:sz w:val="28"/>
          <w:szCs w:val="28"/>
          <w:shd w:val="clear" w:color="auto" w:fill="FFFFFF"/>
        </w:rPr>
        <w:t>签订捐赠</w:t>
      </w:r>
      <w:r>
        <w:rPr>
          <w:rFonts w:hint="eastAsia" w:ascii="仿宋" w:hAnsi="仿宋" w:eastAsia="仿宋" w:cs="仿宋"/>
          <w:kern w:val="0"/>
          <w:sz w:val="28"/>
          <w:szCs w:val="28"/>
          <w:shd w:val="clear" w:color="auto" w:fill="FFFFFF"/>
          <w:lang w:bidi="ar"/>
        </w:rPr>
        <w:t>（资助）</w:t>
      </w:r>
      <w:r>
        <w:rPr>
          <w:rFonts w:hint="eastAsia" w:ascii="仿宋" w:hAnsi="仿宋" w:eastAsia="仿宋" w:cs="仿宋"/>
          <w:sz w:val="28"/>
          <w:szCs w:val="28"/>
          <w:shd w:val="clear" w:color="auto" w:fill="FFFFFF"/>
        </w:rPr>
        <w:t>协议</w:t>
      </w:r>
      <w:r>
        <w:rPr>
          <w:rFonts w:hint="eastAsia" w:ascii="仿宋" w:hAnsi="仿宋" w:eastAsia="仿宋" w:cs="仿宋"/>
          <w:kern w:val="0"/>
          <w:sz w:val="28"/>
          <w:szCs w:val="28"/>
          <w:lang w:bidi="ar"/>
        </w:rPr>
        <w:t>或捐赠意向书。</w:t>
      </w:r>
    </w:p>
    <w:p>
      <w:pPr>
        <w:widowControl/>
        <w:jc w:val="center"/>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第四章</w:t>
      </w:r>
      <w:r>
        <w:rPr>
          <w:rFonts w:hint="eastAsia" w:ascii="宋体" w:hAnsi="宋体" w:eastAsia="宋体" w:cs="宋体"/>
          <w:b/>
          <w:bCs/>
          <w:kern w:val="0"/>
          <w:sz w:val="32"/>
          <w:szCs w:val="32"/>
          <w:shd w:val="clear" w:color="auto" w:fill="FFFFFF"/>
          <w:lang w:bidi="ar"/>
        </w:rPr>
        <w:t> </w:t>
      </w:r>
      <w:r>
        <w:rPr>
          <w:rFonts w:hint="eastAsia" w:ascii="仿宋" w:hAnsi="仿宋" w:eastAsia="仿宋" w:cs="仿宋"/>
          <w:b/>
          <w:bCs/>
          <w:kern w:val="0"/>
          <w:sz w:val="32"/>
          <w:szCs w:val="32"/>
          <w:shd w:val="clear" w:color="auto" w:fill="FFFFFF"/>
          <w:lang w:bidi="ar"/>
        </w:rPr>
        <w:t>费用支出管理</w:t>
      </w:r>
    </w:p>
    <w:p>
      <w:pPr>
        <w:pStyle w:val="9"/>
        <w:spacing w:line="560" w:lineRule="exact"/>
        <w:ind w:firstLine="562"/>
        <w:jc w:val="left"/>
        <w:rPr>
          <w:rFonts w:ascii="仿宋" w:hAnsi="仿宋" w:eastAsia="仿宋" w:cs="仿宋"/>
          <w:b/>
          <w:bCs/>
          <w:kern w:val="0"/>
          <w:sz w:val="28"/>
          <w:szCs w:val="28"/>
          <w:shd w:val="clear" w:color="auto" w:fill="FFFFFF"/>
          <w:lang w:bidi="ar"/>
        </w:rPr>
      </w:pPr>
    </w:p>
    <w:p>
      <w:pPr>
        <w:pStyle w:val="2"/>
        <w:tabs>
          <w:tab w:val="left" w:pos="540"/>
        </w:tabs>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第七条  </w:t>
      </w:r>
      <w:r>
        <w:rPr>
          <w:rFonts w:hint="eastAsia" w:ascii="仿宋" w:hAnsi="仿宋" w:eastAsia="仿宋" w:cs="仿宋"/>
          <w:kern w:val="0"/>
          <w:sz w:val="28"/>
          <w:szCs w:val="28"/>
          <w:shd w:val="clear" w:color="auto" w:fill="FFFFFF"/>
          <w:lang w:bidi="ar"/>
        </w:rPr>
        <w:t>社会组织经费支出响应中央八项规定精神，各项经费支出参照株洲市市直机关相关费用管理办法规定执行。经费的使用范围如下：</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（一）业务活动费用开支：社会组织开展各项业务活动所需经费，如会议会、咨询费、接待费、资料费等；</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（二）人员经费及管理开支：包括工作人员的工资、福利费、聘用费、办公费、差旅费、社会保障费等；</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（三）有偿服务成本费用开支，应缴纳的税费等；</w:t>
      </w:r>
    </w:p>
    <w:p>
      <w:pPr>
        <w:tabs>
          <w:tab w:val="left" w:pos="540"/>
        </w:tabs>
        <w:ind w:firstLine="560" w:firstLineChars="200"/>
        <w:jc w:val="left"/>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（四）其他合理开支。</w:t>
      </w:r>
    </w:p>
    <w:p>
      <w:pPr>
        <w:pStyle w:val="9"/>
        <w:ind w:firstLine="562"/>
        <w:jc w:val="left"/>
        <w:rPr>
          <w:rFonts w:ascii="仿宋" w:hAnsi="仿宋" w:eastAsia="仿宋" w:cs="仿宋"/>
          <w:color w:val="FF0000"/>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第八条  </w:t>
      </w:r>
      <w:r>
        <w:rPr>
          <w:rFonts w:hint="eastAsia" w:ascii="仿宋" w:hAnsi="仿宋" w:eastAsia="仿宋" w:cs="仿宋"/>
          <w:color w:val="FF0000"/>
          <w:kern w:val="0"/>
          <w:sz w:val="28"/>
          <w:szCs w:val="28"/>
          <w:shd w:val="clear" w:color="auto" w:fill="FFFFFF"/>
          <w:lang w:bidi="ar"/>
        </w:rPr>
        <w:t>社会组织费用支出实行事前审批，按照经费支出金额大小，制定分层</w:t>
      </w:r>
      <w:r>
        <w:rPr>
          <w:rFonts w:hint="eastAsia" w:ascii="仿宋" w:hAnsi="仿宋" w:eastAsia="仿宋" w:cs="仿宋"/>
          <w:color w:val="FF0000"/>
          <w:kern w:val="0"/>
          <w:sz w:val="28"/>
          <w:szCs w:val="28"/>
          <w:shd w:val="clear" w:color="auto" w:fill="FFFFFF"/>
          <w:lang w:eastAsia="zh-CN" w:bidi="ar"/>
        </w:rPr>
        <w:t>级</w:t>
      </w:r>
      <w:r>
        <w:rPr>
          <w:rFonts w:hint="eastAsia" w:ascii="仿宋" w:hAnsi="仿宋" w:eastAsia="仿宋" w:cs="仿宋"/>
          <w:color w:val="FF0000"/>
          <w:kern w:val="0"/>
          <w:sz w:val="28"/>
          <w:szCs w:val="28"/>
          <w:shd w:val="clear" w:color="auto" w:fill="FFFFFF"/>
          <w:lang w:bidi="ar"/>
        </w:rPr>
        <w:t>审批制度，重大开支</w:t>
      </w:r>
      <w:r>
        <w:rPr>
          <w:rFonts w:hint="eastAsia" w:ascii="仿宋" w:hAnsi="仿宋" w:eastAsia="仿宋" w:cs="仿宋"/>
          <w:color w:val="FF0000"/>
          <w:kern w:val="0"/>
          <w:sz w:val="28"/>
          <w:szCs w:val="28"/>
          <w:shd w:val="clear" w:color="auto" w:fill="FFFFFF"/>
          <w:lang w:val="en-US" w:eastAsia="zh-CN" w:bidi="ar"/>
        </w:rPr>
        <w:t>(各组织据实际情况明确标准)</w:t>
      </w:r>
      <w:r>
        <w:rPr>
          <w:rFonts w:hint="eastAsia" w:ascii="仿宋" w:hAnsi="仿宋" w:eastAsia="仿宋" w:cs="仿宋"/>
          <w:color w:val="FF0000"/>
          <w:kern w:val="0"/>
          <w:sz w:val="28"/>
          <w:szCs w:val="28"/>
          <w:shd w:val="clear" w:color="auto" w:fill="FFFFFF"/>
          <w:lang w:bidi="ar"/>
        </w:rPr>
        <w:t>须经负责人会议集体研究决定后审批，相关会议应形成会议记录。所有开支实行总体控制、分级把关，事前审签，签字报销的管理原则。</w:t>
      </w:r>
    </w:p>
    <w:p>
      <w:pPr>
        <w:ind w:firstLine="562" w:firstLineChars="200"/>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第九条  </w:t>
      </w:r>
      <w:r>
        <w:rPr>
          <w:rFonts w:ascii="仿宋" w:hAnsi="仿宋" w:eastAsia="仿宋" w:cs="仿宋"/>
          <w:bCs/>
          <w:kern w:val="0"/>
          <w:sz w:val="28"/>
          <w:szCs w:val="28"/>
          <w:shd w:val="clear" w:color="auto" w:fill="FFFFFF"/>
          <w:lang w:bidi="ar"/>
        </w:rPr>
        <w:t>票据报销流程为：每张报销票据、凭证上必须签署具体</w:t>
      </w:r>
      <w:r>
        <w:rPr>
          <w:rFonts w:ascii="仿宋" w:hAnsi="仿宋" w:eastAsia="仿宋" w:cs="仿宋"/>
          <w:kern w:val="0"/>
          <w:sz w:val="28"/>
          <w:szCs w:val="28"/>
          <w:shd w:val="clear" w:color="auto" w:fill="FFFFFF"/>
          <w:lang w:bidi="ar"/>
        </w:rPr>
        <w:t>经办人（当事人）、证明人，</w:t>
      </w:r>
      <w:r>
        <w:rPr>
          <w:rFonts w:hint="eastAsia" w:ascii="仿宋" w:hAnsi="仿宋" w:eastAsia="仿宋" w:cs="仿宋"/>
          <w:color w:val="FF0000"/>
          <w:kern w:val="0"/>
          <w:sz w:val="28"/>
          <w:szCs w:val="28"/>
          <w:shd w:val="clear" w:color="auto" w:fill="FFFFFF"/>
          <w:lang w:bidi="ar"/>
        </w:rPr>
        <w:t>负责人</w:t>
      </w:r>
      <w:r>
        <w:rPr>
          <w:rFonts w:ascii="仿宋" w:hAnsi="仿宋" w:eastAsia="仿宋" w:cs="仿宋"/>
          <w:color w:val="FF0000"/>
          <w:kern w:val="0"/>
          <w:sz w:val="28"/>
          <w:szCs w:val="28"/>
          <w:shd w:val="clear" w:color="auto" w:fill="FFFFFF"/>
          <w:lang w:bidi="ar"/>
        </w:rPr>
        <w:t>审批后</w:t>
      </w:r>
      <w:r>
        <w:rPr>
          <w:rFonts w:ascii="仿宋" w:hAnsi="仿宋" w:eastAsia="仿宋" w:cs="仿宋"/>
          <w:kern w:val="0"/>
          <w:sz w:val="28"/>
          <w:szCs w:val="28"/>
          <w:shd w:val="clear" w:color="auto" w:fill="FFFFFF"/>
          <w:lang w:bidi="ar"/>
        </w:rPr>
        <w:t>财务凭签字票据报销出账。</w:t>
      </w:r>
    </w:p>
    <w:p>
      <w:pPr>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第十条 </w:t>
      </w:r>
      <w:r>
        <w:rPr>
          <w:rFonts w:hint="eastAsia" w:ascii="仿宋" w:hAnsi="仿宋" w:eastAsia="仿宋" w:cs="仿宋"/>
          <w:kern w:val="0"/>
          <w:sz w:val="28"/>
          <w:szCs w:val="28"/>
          <w:shd w:val="clear" w:color="auto" w:fill="FFFFFF"/>
          <w:lang w:bidi="ar"/>
        </w:rPr>
        <w:t xml:space="preserve"> 外来原始凭证（如各种发票和行政事业性收据）应具备的内容：接受单位名称；填制凭证日期；经济业务品名（有规格的必须注明）、单位、数量、单价和金额；开票人和收款人签名；填制单位的财务专用章或发票专用章。</w:t>
      </w:r>
    </w:p>
    <w:p>
      <w:pPr>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第十一条</w:t>
      </w:r>
      <w:r>
        <w:rPr>
          <w:rFonts w:hint="eastAsia" w:ascii="仿宋" w:hAnsi="仿宋" w:eastAsia="仿宋" w:cs="仿宋"/>
          <w:kern w:val="0"/>
          <w:sz w:val="28"/>
          <w:szCs w:val="28"/>
          <w:shd w:val="clear" w:color="auto" w:fill="FFFFFF"/>
          <w:lang w:bidi="ar"/>
        </w:rPr>
        <w:t xml:space="preserve">   原始凭证的附件要求：差旅费、招待费、培训费、会议费需附审批单</w:t>
      </w:r>
      <w:r>
        <w:rPr>
          <w:rFonts w:hint="eastAsia" w:ascii="仿宋" w:hAnsi="仿宋" w:eastAsia="仿宋" w:cs="仿宋"/>
          <w:color w:val="FF0000"/>
          <w:kern w:val="0"/>
          <w:sz w:val="28"/>
          <w:szCs w:val="28"/>
          <w:shd w:val="clear" w:color="auto" w:fill="FFFFFF"/>
          <w:lang w:bidi="ar"/>
        </w:rPr>
        <w:t>（参见附件1-3）</w:t>
      </w:r>
      <w:r>
        <w:rPr>
          <w:rFonts w:hint="eastAsia" w:ascii="仿宋" w:hAnsi="仿宋" w:eastAsia="仿宋" w:cs="仿宋"/>
          <w:color w:val="FF0000"/>
          <w:kern w:val="0"/>
          <w:sz w:val="28"/>
          <w:szCs w:val="28"/>
          <w:shd w:val="clear" w:color="auto" w:fill="FFFFFF"/>
          <w:lang w:eastAsia="zh-CN" w:bidi="ar"/>
        </w:rPr>
        <w:t>，报销标准由各社会组织据实际情况设定</w:t>
      </w:r>
      <w:r>
        <w:rPr>
          <w:rFonts w:hint="eastAsia" w:ascii="仿宋" w:hAnsi="仿宋" w:eastAsia="仿宋" w:cs="仿宋"/>
          <w:kern w:val="0"/>
          <w:sz w:val="28"/>
          <w:szCs w:val="28"/>
          <w:shd w:val="clear" w:color="auto" w:fill="FFFFFF"/>
          <w:lang w:bidi="ar"/>
        </w:rPr>
        <w:t>；本级考察需附邀请函或领导批复的报告申请单；如需进行合同管理的经济业务，必须将双方签订的正式合同或协议书同原始凭证附在一起进行审批报销。</w:t>
      </w:r>
    </w:p>
    <w:p>
      <w:pPr>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第十二条</w:t>
      </w:r>
      <w:r>
        <w:rPr>
          <w:rFonts w:hint="eastAsia" w:ascii="仿宋" w:hAnsi="仿宋" w:eastAsia="仿宋" w:cs="仿宋"/>
          <w:kern w:val="0"/>
          <w:sz w:val="28"/>
          <w:szCs w:val="28"/>
          <w:shd w:val="clear" w:color="auto" w:fill="FFFFFF"/>
          <w:lang w:bidi="ar"/>
        </w:rPr>
        <w:t xml:space="preserve">  社会组织应与从业人员签订劳动合同或聘用合同，建立薪酬管理制度，参考住所地人力资源社会保障部门发布的工资指导价位和工资指导线，就工资收入水平和调整幅度等事项，与从业人员进行平等协商，确保从业人员薪酬水平与经济发展水平相协调、与劳动生产率提高相适应。并将其纳入会员(代表)大会或理事会决策事项中，一经确定，应由社会组织在适当范围内予以公布，接受民主监督。社会组织应建立工资台账，支付工资时应提供工资清单。工资台账须至少保存两年。</w:t>
      </w:r>
    </w:p>
    <w:p>
      <w:pPr>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kern w:val="0"/>
          <w:sz w:val="28"/>
          <w:szCs w:val="28"/>
          <w:shd w:val="clear" w:color="auto" w:fill="FFFFFF"/>
          <w:lang w:bidi="ar"/>
        </w:rPr>
        <w:t>第十三条</w:t>
      </w:r>
      <w:r>
        <w:rPr>
          <w:rFonts w:hint="eastAsia" w:ascii="仿宋" w:hAnsi="仿宋" w:eastAsia="仿宋" w:cs="仿宋"/>
          <w:kern w:val="0"/>
          <w:sz w:val="28"/>
          <w:szCs w:val="28"/>
          <w:shd w:val="clear" w:color="auto" w:fill="FFFFFF"/>
          <w:lang w:bidi="ar"/>
        </w:rPr>
        <w:t xml:space="preserve">   社会组织应依法</w:t>
      </w:r>
      <w:r>
        <w:rPr>
          <w:rFonts w:ascii="仿宋" w:hAnsi="仿宋" w:eastAsia="仿宋" w:cs="仿宋"/>
          <w:kern w:val="0"/>
          <w:sz w:val="28"/>
          <w:szCs w:val="28"/>
          <w:shd w:val="clear" w:color="auto" w:fill="FFFFFF"/>
          <w:lang w:bidi="ar"/>
        </w:rPr>
        <w:t>为从业人员缴存社会保险和住房公积金。社会保险和住房公积金缴费基数按有关法律法规执行。</w:t>
      </w:r>
    </w:p>
    <w:p>
      <w:pPr>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kern w:val="0"/>
          <w:sz w:val="28"/>
          <w:szCs w:val="28"/>
          <w:shd w:val="clear" w:color="auto" w:fill="FFFFFF"/>
          <w:lang w:bidi="ar"/>
        </w:rPr>
        <w:t xml:space="preserve">第十四条 </w:t>
      </w:r>
      <w:r>
        <w:rPr>
          <w:rFonts w:hint="eastAsia" w:ascii="仿宋" w:hAnsi="仿宋" w:eastAsia="仿宋" w:cs="仿宋"/>
          <w:kern w:val="0"/>
          <w:sz w:val="28"/>
          <w:szCs w:val="28"/>
          <w:shd w:val="clear" w:color="auto" w:fill="FFFFFF"/>
          <w:lang w:bidi="ar"/>
        </w:rPr>
        <w:t xml:space="preserve">  退(离)休领导干部在社会组织兼任职务(包括领导职务和名誉职务、常务理事、理事等)，须按干部管理权限审批或备案后方可兼职。确因工作需要，本人又无其他兼职，且所兼职社会组织的业务与原工作业务或特长相关的，经批准可兼任1个社会组织职务；任期届满拟连任的，必须重新履行有关审批手续，兼职不超过两届；兼职的任职年龄界限为70周岁。退(离)休领导干部兼职不得领取社会组织的薪酬、奖金、津贴等报酬和获取其他额外利益，也不得领取各种名目的补贴等，确属需要的工作经费，要从严控制，不得超过规定标准和实际支出。</w:t>
      </w:r>
    </w:p>
    <w:p>
      <w:pPr>
        <w:widowControl/>
        <w:jc w:val="center"/>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第五章  政府购买服务</w:t>
      </w:r>
    </w:p>
    <w:p>
      <w:pPr>
        <w:widowControl/>
        <w:spacing w:line="360" w:lineRule="auto"/>
        <w:ind w:firstLine="562" w:firstLineChars="200"/>
        <w:rPr>
          <w:rFonts w:ascii="仿宋" w:hAnsi="仿宋" w:eastAsia="仿宋" w:cs="仿宋"/>
          <w:color w:val="FF0000"/>
          <w:kern w:val="0"/>
          <w:sz w:val="28"/>
          <w:szCs w:val="28"/>
          <w:shd w:val="clear" w:color="auto" w:fill="FFFFFF"/>
          <w:lang w:bidi="ar"/>
        </w:rPr>
      </w:pPr>
      <w:r>
        <w:rPr>
          <w:rFonts w:hint="eastAsia" w:ascii="仿宋" w:hAnsi="仿宋" w:eastAsia="仿宋" w:cs="仿宋"/>
          <w:b/>
          <w:color w:val="FF0000"/>
          <w:kern w:val="0"/>
          <w:sz w:val="28"/>
          <w:szCs w:val="28"/>
          <w:shd w:val="clear" w:color="auto" w:fill="FFFFFF"/>
          <w:lang w:bidi="ar"/>
        </w:rPr>
        <w:t xml:space="preserve">第十五条  </w:t>
      </w:r>
      <w:r>
        <w:rPr>
          <w:rFonts w:hint="eastAsia" w:ascii="仿宋" w:hAnsi="仿宋" w:eastAsia="仿宋" w:cs="仿宋"/>
          <w:color w:val="FF0000"/>
          <w:kern w:val="0"/>
          <w:sz w:val="28"/>
          <w:szCs w:val="28"/>
          <w:shd w:val="clear" w:color="auto" w:fill="FFFFFF"/>
          <w:lang w:bidi="ar"/>
        </w:rPr>
        <w:t>社会组织参与社会服务项目应加强项目资金管理，确保资金运行安全，提高资金使用效率。做到项目资金的使用合法、专款专用、经济合理。</w:t>
      </w:r>
    </w:p>
    <w:p>
      <w:pPr>
        <w:pStyle w:val="13"/>
        <w:spacing w:line="360" w:lineRule="auto"/>
        <w:ind w:firstLine="562" w:firstLineChars="200"/>
        <w:jc w:val="both"/>
        <w:rPr>
          <w:rFonts w:ascii="仿宋" w:hAnsi="仿宋" w:eastAsia="仿宋" w:cs="仿宋"/>
          <w:color w:val="FF0000"/>
          <w:sz w:val="28"/>
          <w:szCs w:val="28"/>
          <w:shd w:val="clear" w:color="auto" w:fill="FFFFFF"/>
          <w:lang w:bidi="ar"/>
        </w:rPr>
      </w:pPr>
      <w:r>
        <w:rPr>
          <w:rFonts w:hint="eastAsia" w:ascii="仿宋" w:hAnsi="仿宋" w:eastAsia="仿宋" w:cs="仿宋"/>
          <w:b/>
          <w:color w:val="FF0000"/>
          <w:sz w:val="28"/>
          <w:szCs w:val="28"/>
          <w:shd w:val="clear" w:color="auto" w:fill="FFFFFF"/>
          <w:lang w:bidi="ar"/>
        </w:rPr>
        <w:t>第十六条</w:t>
      </w:r>
      <w:r>
        <w:rPr>
          <w:rFonts w:hint="eastAsia" w:ascii="仿宋" w:hAnsi="仿宋" w:eastAsia="仿宋" w:cs="仿宋"/>
          <w:color w:val="FF0000"/>
          <w:sz w:val="28"/>
          <w:szCs w:val="28"/>
          <w:shd w:val="clear" w:color="auto" w:fill="FFFFFF"/>
          <w:lang w:bidi="ar"/>
        </w:rPr>
        <w:t xml:space="preserve">  社会组织应严格项目资金使用管理，规范资金拨付和使用程序，按项目进度使用和拨付，项目资金使用应遵守国家有关现金和银行结算的管理规定，不得出现大额支付现金、超范围支付现金、公款私存等行为，讲课费、劳务费、救助款及工资的发放、以及单笔在</w:t>
      </w:r>
      <w:r>
        <w:rPr>
          <w:rFonts w:ascii="仿宋" w:hAnsi="仿宋" w:eastAsia="仿宋" w:cs="仿宋"/>
          <w:color w:val="FF0000"/>
          <w:sz w:val="28"/>
          <w:szCs w:val="28"/>
          <w:shd w:val="clear" w:color="auto" w:fill="FFFFFF"/>
          <w:lang w:bidi="ar"/>
        </w:rPr>
        <w:t>2000元以上的其他支出应采用</w:t>
      </w:r>
      <w:r>
        <w:rPr>
          <w:rFonts w:hint="eastAsia" w:ascii="仿宋" w:hAnsi="仿宋" w:eastAsia="仿宋" w:cs="仿宋"/>
          <w:color w:val="FF0000"/>
          <w:sz w:val="28"/>
          <w:szCs w:val="28"/>
          <w:shd w:val="clear" w:color="auto" w:fill="FFFFFF"/>
          <w:lang w:bidi="ar"/>
        </w:rPr>
        <w:t>银行转账方式支付。</w:t>
      </w:r>
    </w:p>
    <w:p>
      <w:pPr>
        <w:pStyle w:val="13"/>
        <w:spacing w:line="360" w:lineRule="auto"/>
        <w:ind w:left="210" w:leftChars="100" w:firstLine="562" w:firstLineChars="200"/>
        <w:jc w:val="both"/>
        <w:rPr>
          <w:rFonts w:ascii="仿宋" w:hAnsi="仿宋" w:eastAsia="仿宋" w:cs="仿宋"/>
          <w:color w:val="FF0000"/>
          <w:sz w:val="28"/>
          <w:szCs w:val="28"/>
          <w:shd w:val="clear" w:color="auto" w:fill="FFFFFF"/>
          <w:lang w:bidi="ar"/>
        </w:rPr>
      </w:pPr>
      <w:r>
        <w:rPr>
          <w:rFonts w:hint="eastAsia" w:ascii="仿宋" w:hAnsi="仿宋" w:eastAsia="仿宋" w:cs="仿宋"/>
          <w:b/>
          <w:color w:val="FF0000"/>
          <w:sz w:val="28"/>
          <w:szCs w:val="28"/>
          <w:shd w:val="clear" w:color="auto" w:fill="FFFFFF"/>
          <w:lang w:bidi="ar"/>
        </w:rPr>
        <w:t xml:space="preserve">第十七条  </w:t>
      </w:r>
      <w:r>
        <w:rPr>
          <w:rFonts w:hint="eastAsia" w:ascii="仿宋" w:hAnsi="仿宋" w:eastAsia="仿宋" w:cs="仿宋"/>
          <w:color w:val="FF0000"/>
          <w:sz w:val="28"/>
          <w:szCs w:val="28"/>
          <w:shd w:val="clear" w:color="auto" w:fill="FFFFFF"/>
          <w:lang w:bidi="ar"/>
        </w:rPr>
        <w:t>社会组织应加强项目会计核算，项目执行单位应依据真实、合法的支出凭证进行核算，将开展社会服务活动所取得的全部资金纳入本组织合法账簿进行核算和管理；项目执行单位应按项目进行明细核算或费用归集，保证支出与项目的相关性的，避免因核算不清而导致支出无法确认的情况发生。</w:t>
      </w:r>
    </w:p>
    <w:p>
      <w:pPr>
        <w:widowControl/>
        <w:jc w:val="center"/>
        <w:rPr>
          <w:rFonts w:ascii="仿宋" w:hAnsi="仿宋" w:eastAsia="仿宋" w:cs="仿宋"/>
          <w:b/>
          <w:bCs/>
          <w:kern w:val="0"/>
          <w:sz w:val="32"/>
          <w:szCs w:val="32"/>
          <w:shd w:val="clear" w:color="auto" w:fill="FFFFFF"/>
          <w:lang w:bidi="ar"/>
        </w:rPr>
      </w:pPr>
    </w:p>
    <w:p>
      <w:pPr>
        <w:widowControl/>
        <w:jc w:val="center"/>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第六章 资产管理</w:t>
      </w:r>
    </w:p>
    <w:p>
      <w:pPr>
        <w:widowControl/>
        <w:ind w:firstLine="562" w:firstLineChars="200"/>
        <w:jc w:val="left"/>
        <w:rPr>
          <w:rFonts w:ascii="仿宋_GB2312" w:hAnsi="仿宋_GB2312" w:eastAsia="仿宋_GB2312" w:cs="仿宋_GB2312"/>
          <w:kern w:val="0"/>
          <w:sz w:val="32"/>
          <w:szCs w:val="32"/>
          <w:lang w:bidi="ar"/>
        </w:rPr>
      </w:pPr>
      <w:r>
        <w:rPr>
          <w:rFonts w:hint="eastAsia" w:ascii="仿宋" w:hAnsi="仿宋" w:eastAsia="仿宋" w:cs="仿宋"/>
          <w:b/>
          <w:bCs/>
          <w:kern w:val="0"/>
          <w:sz w:val="28"/>
          <w:szCs w:val="28"/>
          <w:shd w:val="clear" w:color="auto" w:fill="FFFFFF"/>
          <w:lang w:bidi="ar"/>
        </w:rPr>
        <w:t xml:space="preserve">第十八条  </w:t>
      </w:r>
      <w:r>
        <w:rPr>
          <w:rFonts w:hint="eastAsia" w:ascii="仿宋" w:hAnsi="仿宋" w:eastAsia="仿宋" w:cs="仿宋"/>
          <w:kern w:val="0"/>
          <w:sz w:val="28"/>
          <w:szCs w:val="28"/>
          <w:shd w:val="clear" w:color="auto" w:fill="FFFFFF"/>
          <w:lang w:bidi="ar"/>
        </w:rPr>
        <w:t>社会组织应当建立健全资产管理制度，明确</w:t>
      </w:r>
      <w:r>
        <w:rPr>
          <w:rFonts w:hint="eastAsia" w:ascii="仿宋" w:hAnsi="仿宋" w:eastAsia="仿宋" w:cs="仿宋"/>
          <w:sz w:val="28"/>
          <w:szCs w:val="28"/>
          <w:shd w:val="clear" w:color="auto" w:fill="FFFFFF"/>
        </w:rPr>
        <w:t>资产管理人</w:t>
      </w:r>
      <w:r>
        <w:rPr>
          <w:rFonts w:hint="eastAsia" w:ascii="仿宋" w:hAnsi="仿宋" w:eastAsia="仿宋" w:cs="仿宋"/>
          <w:kern w:val="0"/>
          <w:sz w:val="28"/>
          <w:szCs w:val="28"/>
          <w:shd w:val="clear" w:color="auto" w:fill="FFFFFF"/>
          <w:lang w:bidi="ar"/>
        </w:rPr>
        <w:t>员，加强对货币资金、固定资产以及对外投资等的核查和管控。</w:t>
      </w:r>
      <w:r>
        <w:rPr>
          <w:rFonts w:hint="eastAsia" w:ascii="仿宋" w:hAnsi="仿宋" w:eastAsia="仿宋" w:cs="仿宋"/>
          <w:kern w:val="0"/>
          <w:sz w:val="28"/>
          <w:szCs w:val="28"/>
          <w:shd w:val="clear" w:color="auto" w:fill="FFFFFF"/>
        </w:rPr>
        <w:t>定期或者至少每年实地盘点一次实物资产，对盘盈、盘亏的资产应及时处理。</w:t>
      </w:r>
      <w:r>
        <w:rPr>
          <w:rFonts w:hint="eastAsia" w:ascii="仿宋" w:hAnsi="仿宋" w:eastAsia="仿宋" w:cs="仿宋"/>
          <w:kern w:val="0"/>
          <w:sz w:val="28"/>
          <w:szCs w:val="28"/>
          <w:shd w:val="clear" w:color="auto" w:fill="FFFFFF"/>
          <w:lang w:bidi="ar"/>
        </w:rPr>
        <w:t>社会组织应制定本单位固定资产折旧政策，按月计提固定资产折旧。</w:t>
      </w:r>
    </w:p>
    <w:p>
      <w:pPr>
        <w:widowControl/>
        <w:jc w:val="center"/>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第七章  票据管理</w:t>
      </w:r>
    </w:p>
    <w:p>
      <w:pPr>
        <w:widowControl/>
        <w:jc w:val="center"/>
        <w:rPr>
          <w:rFonts w:ascii="仿宋" w:hAnsi="仿宋" w:eastAsia="仿宋" w:cs="仿宋"/>
          <w:b/>
          <w:bCs/>
          <w:kern w:val="0"/>
          <w:sz w:val="32"/>
          <w:szCs w:val="32"/>
          <w:shd w:val="clear" w:color="auto" w:fill="FFFFFF"/>
          <w:lang w:bidi="ar"/>
        </w:rPr>
      </w:pPr>
    </w:p>
    <w:p>
      <w:pPr>
        <w:widowControl/>
        <w:ind w:firstLine="562" w:firstLineChars="200"/>
        <w:jc w:val="left"/>
        <w:rPr>
          <w:rFonts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 xml:space="preserve">第十九条 </w:t>
      </w:r>
      <w:r>
        <w:rPr>
          <w:rFonts w:hint="eastAsia" w:ascii="仿宋" w:hAnsi="仿宋" w:eastAsia="仿宋" w:cs="仿宋"/>
          <w:kern w:val="0"/>
          <w:sz w:val="28"/>
          <w:szCs w:val="28"/>
          <w:shd w:val="clear" w:color="auto" w:fill="FFFFFF"/>
          <w:lang w:bidi="ar"/>
        </w:rPr>
        <w:t xml:space="preserve"> 社会组织应加强票据管理，严格执行领购使用票据以及保管的各项规定，做好票据使用后的核销手续，使用合规票据作为报销凭证，不违规开具捐赠专用收据和发票。并接受登记管理机关的检查和财政部门的监督。</w:t>
      </w:r>
    </w:p>
    <w:p>
      <w:pPr>
        <w:widowControl/>
        <w:jc w:val="center"/>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第八章</w:t>
      </w:r>
      <w:r>
        <w:rPr>
          <w:rFonts w:hint="eastAsia" w:ascii="宋体" w:hAnsi="宋体" w:eastAsia="宋体" w:cs="宋体"/>
          <w:b/>
          <w:bCs/>
          <w:kern w:val="0"/>
          <w:sz w:val="32"/>
          <w:szCs w:val="32"/>
          <w:shd w:val="clear" w:color="auto" w:fill="FFFFFF"/>
          <w:lang w:bidi="ar"/>
        </w:rPr>
        <w:t> </w:t>
      </w:r>
      <w:r>
        <w:rPr>
          <w:rFonts w:hint="eastAsia" w:ascii="仿宋" w:hAnsi="仿宋" w:eastAsia="仿宋" w:cs="仿宋"/>
          <w:b/>
          <w:bCs/>
          <w:kern w:val="0"/>
          <w:sz w:val="32"/>
          <w:szCs w:val="32"/>
          <w:shd w:val="clear" w:color="auto" w:fill="FFFFFF"/>
          <w:lang w:bidi="ar"/>
        </w:rPr>
        <w:t>财务监督</w:t>
      </w:r>
    </w:p>
    <w:p>
      <w:pPr>
        <w:widowControl/>
        <w:ind w:firstLine="562" w:firstLineChars="200"/>
        <w:jc w:val="left"/>
        <w:rPr>
          <w:rFonts w:ascii="仿宋" w:hAnsi="仿宋" w:eastAsia="仿宋" w:cs="仿宋"/>
          <w:sz w:val="28"/>
          <w:szCs w:val="28"/>
        </w:rPr>
      </w:pPr>
      <w:r>
        <w:rPr>
          <w:rFonts w:hint="eastAsia" w:ascii="仿宋" w:hAnsi="仿宋" w:eastAsia="仿宋" w:cs="仿宋"/>
          <w:b/>
          <w:bCs/>
          <w:kern w:val="0"/>
          <w:sz w:val="28"/>
          <w:szCs w:val="28"/>
          <w:shd w:val="clear" w:color="auto" w:fill="FFFFFF"/>
          <w:lang w:bidi="ar"/>
        </w:rPr>
        <w:t xml:space="preserve">第二十条  </w:t>
      </w:r>
      <w:r>
        <w:rPr>
          <w:rFonts w:hint="eastAsia" w:ascii="仿宋" w:hAnsi="仿宋" w:eastAsia="仿宋" w:cs="仿宋"/>
          <w:kern w:val="0"/>
          <w:sz w:val="28"/>
          <w:szCs w:val="28"/>
          <w:shd w:val="clear" w:color="auto" w:fill="FFFFFF"/>
          <w:lang w:bidi="ar"/>
        </w:rPr>
        <w:t>社会组织的财务工作须自觉接受业务主管（指导）单位和登记管理机关的监督管理，同时依法接受财政部门的监督检查，对检查中发现的违法违纪问题，依法依纪处理。</w:t>
      </w:r>
    </w:p>
    <w:p>
      <w:pPr>
        <w:widowControl/>
        <w:ind w:firstLine="562" w:firstLineChars="200"/>
        <w:jc w:val="left"/>
        <w:rPr>
          <w:rFonts w:ascii="仿宋" w:hAnsi="仿宋" w:eastAsia="仿宋" w:cs="仿宋"/>
          <w:sz w:val="28"/>
          <w:szCs w:val="28"/>
          <w:shd w:val="clear" w:color="auto" w:fill="FFFFFF"/>
        </w:rPr>
      </w:pPr>
      <w:r>
        <w:rPr>
          <w:rFonts w:hint="eastAsia" w:ascii="仿宋" w:hAnsi="仿宋" w:eastAsia="仿宋" w:cs="仿宋"/>
          <w:b/>
          <w:bCs/>
          <w:kern w:val="0"/>
          <w:sz w:val="28"/>
          <w:szCs w:val="28"/>
          <w:shd w:val="clear" w:color="auto" w:fill="FFFFFF"/>
          <w:lang w:bidi="ar"/>
        </w:rPr>
        <w:t xml:space="preserve">第二十一条   </w:t>
      </w:r>
      <w:r>
        <w:rPr>
          <w:rFonts w:hint="eastAsia" w:ascii="仿宋" w:hAnsi="仿宋" w:eastAsia="仿宋" w:cs="仿宋"/>
          <w:sz w:val="28"/>
          <w:szCs w:val="28"/>
          <w:shd w:val="clear" w:color="auto" w:fill="FFFFFF"/>
        </w:rPr>
        <w:t>社会组织资金来源于财政拨款或者社会捐赠</w:t>
      </w:r>
      <w:r>
        <w:rPr>
          <w:rFonts w:hint="eastAsia" w:ascii="仿宋" w:hAnsi="仿宋" w:eastAsia="仿宋" w:cs="仿宋"/>
          <w:kern w:val="0"/>
          <w:sz w:val="28"/>
          <w:szCs w:val="28"/>
          <w:shd w:val="clear" w:color="auto" w:fill="FFFFFF"/>
          <w:lang w:bidi="ar"/>
        </w:rPr>
        <w:t>（资助）</w:t>
      </w:r>
      <w:r>
        <w:rPr>
          <w:rFonts w:hint="eastAsia" w:ascii="仿宋" w:hAnsi="仿宋" w:eastAsia="仿宋" w:cs="仿宋"/>
          <w:sz w:val="28"/>
          <w:szCs w:val="28"/>
          <w:shd w:val="clear" w:color="auto" w:fill="FFFFFF"/>
        </w:rPr>
        <w:t>的，应当接受审计部门的审计监督。社会组织应将捐赠款物使用情况向社会公布。</w:t>
      </w:r>
    </w:p>
    <w:p>
      <w:pPr>
        <w:widowControl/>
        <w:ind w:firstLine="560" w:firstLineChars="200"/>
        <w:jc w:val="left"/>
        <w:rPr>
          <w:rFonts w:ascii="仿宋" w:hAnsi="仿宋" w:eastAsia="仿宋" w:cs="仿宋"/>
          <w:sz w:val="28"/>
          <w:szCs w:val="28"/>
          <w:shd w:val="clear" w:color="auto" w:fill="FFFFFF"/>
        </w:rPr>
      </w:pPr>
      <w:r>
        <w:rPr>
          <w:rFonts w:hint="eastAsia" w:ascii="仿宋" w:hAnsi="仿宋" w:eastAsia="仿宋" w:cs="仿宋"/>
          <w:kern w:val="0"/>
          <w:sz w:val="28"/>
          <w:szCs w:val="28"/>
          <w:shd w:val="clear" w:color="auto" w:fill="FFFFFF"/>
          <w:lang w:bidi="ar"/>
        </w:rPr>
        <w:t>社会组织提供服务依法取得应税收入的，</w:t>
      </w:r>
      <w:r>
        <w:rPr>
          <w:rFonts w:hint="eastAsia" w:ascii="仿宋" w:hAnsi="仿宋" w:eastAsia="仿宋" w:cs="仿宋"/>
          <w:sz w:val="28"/>
          <w:szCs w:val="28"/>
          <w:shd w:val="clear" w:color="auto" w:fill="FFFFFF"/>
        </w:rPr>
        <w:t>应当接受税务部门的税务监督。</w:t>
      </w:r>
    </w:p>
    <w:p>
      <w:pPr>
        <w:widowControl/>
        <w:shd w:val="clear" w:color="auto" w:fill="FFFFFF"/>
        <w:ind w:firstLine="645"/>
        <w:jc w:val="left"/>
        <w:rPr>
          <w:rFonts w:ascii="仿宋" w:hAnsi="仿宋" w:eastAsia="仿宋" w:cs="仿宋"/>
          <w:kern w:val="0"/>
          <w:sz w:val="28"/>
          <w:szCs w:val="28"/>
        </w:rPr>
      </w:pPr>
      <w:r>
        <w:rPr>
          <w:rFonts w:hint="eastAsia" w:ascii="仿宋" w:hAnsi="仿宋" w:eastAsia="仿宋" w:cs="仿宋"/>
          <w:b/>
          <w:bCs/>
          <w:kern w:val="0"/>
          <w:sz w:val="28"/>
          <w:szCs w:val="28"/>
          <w:shd w:val="clear" w:color="auto" w:fill="FFFFFF"/>
          <w:lang w:bidi="ar"/>
        </w:rPr>
        <w:t>第二十二条</w:t>
      </w:r>
      <w:r>
        <w:rPr>
          <w:rFonts w:hint="eastAsia" w:ascii="宋体" w:hAnsi="宋体" w:eastAsia="宋体" w:cs="宋体"/>
          <w:kern w:val="0"/>
          <w:sz w:val="28"/>
          <w:szCs w:val="28"/>
          <w:shd w:val="clear" w:color="auto" w:fill="FFFFFF"/>
          <w:lang w:bidi="ar"/>
        </w:rPr>
        <w:t> </w:t>
      </w:r>
      <w:r>
        <w:rPr>
          <w:rFonts w:hint="eastAsia" w:ascii="仿宋" w:hAnsi="仿宋" w:eastAsia="仿宋" w:cs="仿宋"/>
          <w:kern w:val="0"/>
          <w:sz w:val="28"/>
          <w:szCs w:val="28"/>
          <w:shd w:val="clear" w:color="auto" w:fill="FFFFFF"/>
          <w:lang w:bidi="ar"/>
        </w:rPr>
        <w:t>社会组织换届或者更换法定代表人、办理注销清算，</w:t>
      </w:r>
      <w:r>
        <w:rPr>
          <w:rFonts w:hint="eastAsia" w:ascii="仿宋" w:hAnsi="仿宋" w:eastAsia="仿宋" w:cs="仿宋"/>
          <w:kern w:val="0"/>
          <w:sz w:val="28"/>
          <w:szCs w:val="28"/>
          <w:shd w:val="clear" w:color="auto" w:fill="FFFFFF"/>
        </w:rPr>
        <w:t>应当进行社会审计。</w:t>
      </w:r>
    </w:p>
    <w:p>
      <w:pPr>
        <w:widowControl/>
        <w:ind w:firstLine="562" w:firstLineChars="200"/>
        <w:jc w:val="left"/>
        <w:rPr>
          <w:rFonts w:ascii="仿宋" w:hAnsi="仿宋" w:eastAsia="仿宋" w:cs="仿宋"/>
          <w:sz w:val="28"/>
          <w:szCs w:val="28"/>
        </w:rPr>
      </w:pPr>
      <w:r>
        <w:rPr>
          <w:rFonts w:hint="eastAsia" w:ascii="仿宋" w:hAnsi="仿宋" w:eastAsia="仿宋" w:cs="仿宋"/>
          <w:b/>
          <w:bCs/>
          <w:kern w:val="0"/>
          <w:sz w:val="28"/>
          <w:szCs w:val="28"/>
          <w:shd w:val="clear" w:color="auto" w:fill="FFFFFF"/>
          <w:lang w:bidi="ar"/>
        </w:rPr>
        <w:t>第二十三条</w:t>
      </w:r>
      <w:r>
        <w:rPr>
          <w:rFonts w:hint="eastAsia" w:ascii="宋体" w:hAnsi="宋体" w:eastAsia="宋体" w:cs="宋体"/>
          <w:kern w:val="0"/>
          <w:sz w:val="28"/>
          <w:szCs w:val="28"/>
          <w:shd w:val="clear" w:color="auto" w:fill="FFFFFF"/>
          <w:lang w:bidi="ar"/>
        </w:rPr>
        <w:t> </w:t>
      </w:r>
      <w:r>
        <w:rPr>
          <w:rFonts w:hint="eastAsia" w:ascii="仿宋" w:hAnsi="仿宋" w:eastAsia="仿宋" w:cs="仿宋"/>
          <w:kern w:val="0"/>
          <w:sz w:val="28"/>
          <w:szCs w:val="28"/>
          <w:shd w:val="clear" w:color="auto" w:fill="FFFFFF"/>
          <w:lang w:bidi="ar"/>
        </w:rPr>
        <w:t>社会组织应当实行财务公开，定期向会员（会员代表）大会或理事会报告财务工作，公布年度财务状况，接受会员（会员代表）或理事、监事的监督。</w:t>
      </w:r>
    </w:p>
    <w:p>
      <w:pPr>
        <w:widowControl/>
        <w:jc w:val="center"/>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第九章</w:t>
      </w:r>
      <w:r>
        <w:rPr>
          <w:rFonts w:hint="eastAsia" w:ascii="宋体" w:hAnsi="宋体" w:eastAsia="宋体" w:cs="宋体"/>
          <w:b/>
          <w:bCs/>
          <w:kern w:val="0"/>
          <w:sz w:val="32"/>
          <w:szCs w:val="32"/>
          <w:shd w:val="clear" w:color="auto" w:fill="FFFFFF"/>
          <w:lang w:bidi="ar"/>
        </w:rPr>
        <w:t> </w:t>
      </w:r>
      <w:r>
        <w:rPr>
          <w:rFonts w:hint="eastAsia" w:ascii="仿宋" w:hAnsi="仿宋" w:eastAsia="仿宋" w:cs="仿宋"/>
          <w:b/>
          <w:bCs/>
          <w:kern w:val="0"/>
          <w:sz w:val="32"/>
          <w:szCs w:val="32"/>
          <w:shd w:val="clear" w:color="auto" w:fill="FFFFFF"/>
          <w:lang w:bidi="ar"/>
        </w:rPr>
        <w:t>附则</w:t>
      </w:r>
    </w:p>
    <w:p>
      <w:pPr>
        <w:widowControl/>
        <w:jc w:val="center"/>
        <w:rPr>
          <w:rFonts w:ascii="仿宋" w:hAnsi="仿宋" w:eastAsia="仿宋" w:cs="仿宋"/>
          <w:b/>
          <w:bCs/>
          <w:kern w:val="0"/>
          <w:sz w:val="32"/>
          <w:szCs w:val="32"/>
          <w:shd w:val="clear" w:color="auto" w:fill="FFFFFF"/>
          <w:lang w:bidi="ar"/>
        </w:rPr>
      </w:pPr>
    </w:p>
    <w:p>
      <w:pPr>
        <w:widowControl/>
        <w:ind w:firstLine="562" w:firstLineChars="200"/>
        <w:jc w:val="left"/>
        <w:rPr>
          <w:rFonts w:hint="eastAsia" w:ascii="仿宋" w:hAnsi="仿宋" w:eastAsia="仿宋" w:cs="仿宋"/>
          <w:kern w:val="0"/>
          <w:sz w:val="28"/>
          <w:szCs w:val="28"/>
          <w:shd w:val="clear" w:color="auto" w:fill="FFFFFF"/>
          <w:lang w:bidi="ar"/>
        </w:rPr>
      </w:pPr>
      <w:r>
        <w:rPr>
          <w:rFonts w:hint="eastAsia" w:ascii="仿宋" w:hAnsi="仿宋" w:eastAsia="仿宋" w:cs="仿宋"/>
          <w:b/>
          <w:bCs/>
          <w:kern w:val="0"/>
          <w:sz w:val="28"/>
          <w:szCs w:val="28"/>
          <w:shd w:val="clear" w:color="auto" w:fill="FFFFFF"/>
          <w:lang w:bidi="ar"/>
        </w:rPr>
        <w:t>第二十四条</w:t>
      </w:r>
      <w:r>
        <w:rPr>
          <w:rFonts w:hint="eastAsia" w:ascii="宋体" w:hAnsi="宋体" w:eastAsia="宋体" w:cs="宋体"/>
          <w:kern w:val="0"/>
          <w:sz w:val="28"/>
          <w:szCs w:val="28"/>
          <w:shd w:val="clear" w:color="auto" w:fill="FFFFFF"/>
          <w:lang w:bidi="ar"/>
        </w:rPr>
        <w:t> </w:t>
      </w:r>
      <w:r>
        <w:rPr>
          <w:rFonts w:hint="eastAsia" w:ascii="仿宋" w:hAnsi="仿宋" w:eastAsia="仿宋" w:cs="仿宋"/>
          <w:kern w:val="0"/>
          <w:sz w:val="28"/>
          <w:szCs w:val="28"/>
          <w:shd w:val="clear" w:color="auto" w:fill="FFFFFF"/>
          <w:lang w:bidi="ar"/>
        </w:rPr>
        <w:t>本指引由株洲市民政局负责解释</w:t>
      </w:r>
      <w:r>
        <w:rPr>
          <w:rFonts w:hint="eastAsia" w:ascii="仿宋" w:hAnsi="仿宋" w:eastAsia="仿宋" w:cs="仿宋"/>
          <w:kern w:val="0"/>
          <w:sz w:val="28"/>
          <w:szCs w:val="28"/>
          <w:shd w:val="clear" w:color="auto" w:fill="FFFFFF"/>
          <w:lang w:eastAsia="zh-CN" w:bidi="ar"/>
        </w:rPr>
        <w:t>，各社会组织可据本指引按内部实际情况制定相应财务管理办法。</w:t>
      </w:r>
    </w:p>
    <w:p>
      <w:pPr>
        <w:rPr>
          <w:rFonts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 xml:space="preserve">    </w:t>
      </w:r>
      <w:r>
        <w:rPr>
          <w:rFonts w:hint="eastAsia" w:ascii="仿宋" w:hAnsi="仿宋" w:eastAsia="仿宋" w:cs="仿宋"/>
          <w:b/>
          <w:bCs/>
          <w:kern w:val="0"/>
          <w:sz w:val="28"/>
          <w:szCs w:val="28"/>
          <w:shd w:val="clear" w:color="auto" w:fill="FFFFFF"/>
          <w:lang w:bidi="ar"/>
        </w:rPr>
        <w:t xml:space="preserve">第二十五条  </w:t>
      </w:r>
      <w:r>
        <w:rPr>
          <w:rFonts w:hint="eastAsia" w:ascii="仿宋" w:hAnsi="仿宋" w:eastAsia="仿宋" w:cs="仿宋"/>
          <w:kern w:val="0"/>
          <w:sz w:val="28"/>
          <w:szCs w:val="28"/>
          <w:shd w:val="clear" w:color="auto" w:fill="FFFFFF"/>
          <w:lang w:bidi="ar"/>
        </w:rPr>
        <w:t>本指引自发布之日起实施。</w:t>
      </w:r>
    </w:p>
    <w:tbl>
      <w:tblPr>
        <w:tblStyle w:val="6"/>
        <w:tblW w:w="9848" w:type="dxa"/>
        <w:tblInd w:w="-34" w:type="dxa"/>
        <w:tblLayout w:type="autofit"/>
        <w:tblCellMar>
          <w:top w:w="0" w:type="dxa"/>
          <w:left w:w="108" w:type="dxa"/>
          <w:bottom w:w="0" w:type="dxa"/>
          <w:right w:w="108" w:type="dxa"/>
        </w:tblCellMar>
      </w:tblPr>
      <w:tblGrid>
        <w:gridCol w:w="2652"/>
        <w:gridCol w:w="222"/>
        <w:gridCol w:w="222"/>
        <w:gridCol w:w="2433"/>
        <w:gridCol w:w="603"/>
        <w:gridCol w:w="222"/>
        <w:gridCol w:w="222"/>
        <w:gridCol w:w="2780"/>
        <w:gridCol w:w="256"/>
        <w:gridCol w:w="236"/>
      </w:tblGrid>
      <w:tr>
        <w:tblPrEx>
          <w:tblCellMar>
            <w:top w:w="0" w:type="dxa"/>
            <w:left w:w="108" w:type="dxa"/>
            <w:bottom w:w="0" w:type="dxa"/>
            <w:right w:w="108" w:type="dxa"/>
          </w:tblCellMar>
        </w:tblPrEx>
        <w:trPr>
          <w:gridAfter w:val="2"/>
          <w:wAfter w:w="492" w:type="dxa"/>
          <w:trHeight w:val="525" w:hRule="atLeast"/>
        </w:trPr>
        <w:tc>
          <w:tcPr>
            <w:tcW w:w="9356" w:type="dxa"/>
            <w:gridSpan w:val="8"/>
            <w:tcBorders>
              <w:right w:val="nil"/>
            </w:tcBorders>
            <w:shd w:val="clear" w:color="auto" w:fill="auto"/>
            <w:noWrap/>
            <w:vAlign w:val="center"/>
          </w:tcPr>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rPr>
            </w:pP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附件1</w:t>
            </w:r>
          </w:p>
        </w:tc>
      </w:tr>
      <w:tr>
        <w:tblPrEx>
          <w:tblCellMar>
            <w:top w:w="0" w:type="dxa"/>
            <w:left w:w="108" w:type="dxa"/>
            <w:bottom w:w="0" w:type="dxa"/>
            <w:right w:w="108" w:type="dxa"/>
          </w:tblCellMar>
        </w:tblPrEx>
        <w:trPr>
          <w:gridAfter w:val="2"/>
          <w:wAfter w:w="492" w:type="dxa"/>
          <w:trHeight w:val="1264" w:hRule="atLeast"/>
        </w:trPr>
        <w:tc>
          <w:tcPr>
            <w:tcW w:w="9356" w:type="dxa"/>
            <w:gridSpan w:val="8"/>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出差审批表</w:t>
            </w:r>
          </w:p>
        </w:tc>
      </w:tr>
      <w:tr>
        <w:tblPrEx>
          <w:tblCellMar>
            <w:top w:w="0" w:type="dxa"/>
            <w:left w:w="108" w:type="dxa"/>
            <w:bottom w:w="0" w:type="dxa"/>
            <w:right w:w="108" w:type="dxa"/>
          </w:tblCellMar>
        </w:tblPrEx>
        <w:trPr>
          <w:trHeight w:val="630" w:hRule="atLeast"/>
        </w:trPr>
        <w:tc>
          <w:tcPr>
            <w:tcW w:w="2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申请人</w:t>
            </w:r>
          </w:p>
        </w:tc>
        <w:tc>
          <w:tcPr>
            <w:tcW w:w="287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left"/>
              <w:rPr>
                <w:rFonts w:ascii="宋体" w:hAnsi="宋体" w:eastAsia="宋体" w:cs="宋体"/>
                <w:color w:val="000000"/>
                <w:kern w:val="0"/>
                <w:sz w:val="20"/>
                <w:szCs w:val="20"/>
              </w:rPr>
            </w:pP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8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同行人员</w:t>
            </w:r>
          </w:p>
        </w:tc>
        <w:tc>
          <w:tcPr>
            <w:tcW w:w="492" w:type="dxa"/>
            <w:gridSpan w:val="2"/>
            <w:tcBorders>
              <w:lef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492" w:type="dxa"/>
          <w:trHeight w:val="1078" w:hRule="atLeast"/>
        </w:trPr>
        <w:tc>
          <w:tcPr>
            <w:tcW w:w="26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出差地点</w:t>
            </w: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492" w:type="dxa"/>
          <w:trHeight w:val="852" w:hRule="atLeast"/>
        </w:trPr>
        <w:tc>
          <w:tcPr>
            <w:tcW w:w="26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出差事由</w:t>
            </w: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492" w:type="dxa"/>
          <w:trHeight w:val="978" w:hRule="atLeast"/>
        </w:trPr>
        <w:tc>
          <w:tcPr>
            <w:tcW w:w="26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出差时间</w:t>
            </w: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     年    月    日至      年    月    日止，共计    天</w:t>
            </w:r>
          </w:p>
        </w:tc>
      </w:tr>
      <w:tr>
        <w:tblPrEx>
          <w:tblCellMar>
            <w:top w:w="0" w:type="dxa"/>
            <w:left w:w="108" w:type="dxa"/>
            <w:bottom w:w="0" w:type="dxa"/>
            <w:right w:w="108" w:type="dxa"/>
          </w:tblCellMar>
        </w:tblPrEx>
        <w:trPr>
          <w:gridAfter w:val="2"/>
          <w:wAfter w:w="492" w:type="dxa"/>
          <w:trHeight w:val="780" w:hRule="atLeast"/>
        </w:trPr>
        <w:tc>
          <w:tcPr>
            <w:tcW w:w="26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乘坐交通方式</w:t>
            </w: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1、单位派车：         </w:t>
            </w:r>
          </w:p>
        </w:tc>
      </w:tr>
      <w:tr>
        <w:tblPrEx>
          <w:tblCellMar>
            <w:top w:w="0" w:type="dxa"/>
            <w:left w:w="108" w:type="dxa"/>
            <w:bottom w:w="0" w:type="dxa"/>
            <w:right w:w="108" w:type="dxa"/>
          </w:tblCellMar>
        </w:tblPrEx>
        <w:trPr>
          <w:gridAfter w:val="2"/>
          <w:wAfter w:w="492" w:type="dxa"/>
          <w:trHeight w:val="780" w:hRule="atLeast"/>
        </w:trPr>
        <w:tc>
          <w:tcPr>
            <w:tcW w:w="26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2、乘坐交通工具：汽车（  ）硬卧（  ）软卧（  ）轮船（  ）飞机（  ）</w:t>
            </w:r>
          </w:p>
        </w:tc>
      </w:tr>
      <w:tr>
        <w:tblPrEx>
          <w:tblCellMar>
            <w:top w:w="0" w:type="dxa"/>
            <w:left w:w="108" w:type="dxa"/>
            <w:bottom w:w="0" w:type="dxa"/>
            <w:right w:w="108" w:type="dxa"/>
          </w:tblCellMar>
        </w:tblPrEx>
        <w:trPr>
          <w:gridAfter w:val="2"/>
          <w:wAfter w:w="492" w:type="dxa"/>
          <w:trHeight w:val="780" w:hRule="atLeast"/>
        </w:trPr>
        <w:tc>
          <w:tcPr>
            <w:tcW w:w="26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对方接待情况</w:t>
            </w: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1、是否安排就餐（  ）；是否安排住宿（  ）</w:t>
            </w:r>
          </w:p>
        </w:tc>
      </w:tr>
      <w:tr>
        <w:tblPrEx>
          <w:tblCellMar>
            <w:top w:w="0" w:type="dxa"/>
            <w:left w:w="108" w:type="dxa"/>
            <w:bottom w:w="0" w:type="dxa"/>
            <w:right w:w="108" w:type="dxa"/>
          </w:tblCellMar>
        </w:tblPrEx>
        <w:trPr>
          <w:gridAfter w:val="2"/>
          <w:wAfter w:w="492" w:type="dxa"/>
          <w:trHeight w:val="780" w:hRule="atLeast"/>
        </w:trPr>
        <w:tc>
          <w:tcPr>
            <w:tcW w:w="26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2、会议或培训等活动主办方是否统一安排食宿（  ）</w:t>
            </w:r>
          </w:p>
        </w:tc>
      </w:tr>
      <w:tr>
        <w:tblPrEx>
          <w:tblCellMar>
            <w:top w:w="0" w:type="dxa"/>
            <w:left w:w="108" w:type="dxa"/>
            <w:bottom w:w="0" w:type="dxa"/>
            <w:right w:w="108" w:type="dxa"/>
          </w:tblCellMar>
        </w:tblPrEx>
        <w:trPr>
          <w:gridAfter w:val="2"/>
          <w:wAfter w:w="492" w:type="dxa"/>
          <w:trHeight w:val="1215" w:hRule="atLeast"/>
        </w:trPr>
        <w:tc>
          <w:tcPr>
            <w:tcW w:w="26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秘书处</w:t>
            </w:r>
            <w:r>
              <w:rPr>
                <w:rFonts w:hint="eastAsia" w:ascii="宋体" w:hAnsi="宋体" w:eastAsia="宋体" w:cs="宋体"/>
                <w:color w:val="000000"/>
                <w:kern w:val="0"/>
                <w:sz w:val="20"/>
                <w:szCs w:val="20"/>
              </w:rPr>
              <w:t>审批意见</w:t>
            </w: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492" w:type="dxa"/>
          <w:trHeight w:val="1215" w:hRule="atLeast"/>
        </w:trPr>
        <w:tc>
          <w:tcPr>
            <w:tcW w:w="26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负责人审批意见</w:t>
            </w:r>
          </w:p>
        </w:tc>
        <w:tc>
          <w:tcPr>
            <w:tcW w:w="670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70" w:hRule="atLeast"/>
        </w:trPr>
        <w:tc>
          <w:tcPr>
            <w:tcW w:w="265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c>
          <w:tcPr>
            <w:tcW w:w="22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c>
          <w:tcPr>
            <w:tcW w:w="22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c>
          <w:tcPr>
            <w:tcW w:w="3036"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c>
          <w:tcPr>
            <w:tcW w:w="22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c>
          <w:tcPr>
            <w:tcW w:w="22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c>
          <w:tcPr>
            <w:tcW w:w="3036"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r>
    </w:tbl>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附件2</w:t>
      </w:r>
    </w:p>
    <w:tbl>
      <w:tblPr>
        <w:tblStyle w:val="6"/>
        <w:tblW w:w="9017" w:type="dxa"/>
        <w:tblInd w:w="93" w:type="dxa"/>
        <w:tblLayout w:type="autofit"/>
        <w:tblCellMar>
          <w:top w:w="0" w:type="dxa"/>
          <w:left w:w="108" w:type="dxa"/>
          <w:bottom w:w="0" w:type="dxa"/>
          <w:right w:w="108" w:type="dxa"/>
        </w:tblCellMar>
      </w:tblPr>
      <w:tblGrid>
        <w:gridCol w:w="1262"/>
        <w:gridCol w:w="243"/>
        <w:gridCol w:w="865"/>
        <w:gridCol w:w="346"/>
        <w:gridCol w:w="901"/>
        <w:gridCol w:w="487"/>
        <w:gridCol w:w="483"/>
        <w:gridCol w:w="377"/>
        <w:gridCol w:w="731"/>
        <w:gridCol w:w="598"/>
        <w:gridCol w:w="511"/>
        <w:gridCol w:w="138"/>
        <w:gridCol w:w="211"/>
        <w:gridCol w:w="898"/>
        <w:gridCol w:w="313"/>
        <w:gridCol w:w="653"/>
      </w:tblGrid>
      <w:tr>
        <w:tblPrEx>
          <w:tblCellMar>
            <w:top w:w="0" w:type="dxa"/>
            <w:left w:w="108" w:type="dxa"/>
            <w:bottom w:w="0" w:type="dxa"/>
            <w:right w:w="108" w:type="dxa"/>
          </w:tblCellMar>
        </w:tblPrEx>
        <w:trPr>
          <w:trHeight w:val="550" w:hRule="atLeast"/>
        </w:trPr>
        <w:tc>
          <w:tcPr>
            <w:tcW w:w="1505"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211"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388"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860"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329"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860"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211"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65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1195" w:hRule="atLeast"/>
        </w:trPr>
        <w:tc>
          <w:tcPr>
            <w:tcW w:w="9017" w:type="dxa"/>
            <w:gridSpan w:val="16"/>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公务接待用餐审批表</w:t>
            </w:r>
          </w:p>
        </w:tc>
      </w:tr>
      <w:tr>
        <w:tblPrEx>
          <w:tblCellMar>
            <w:top w:w="0" w:type="dxa"/>
            <w:left w:w="108" w:type="dxa"/>
            <w:bottom w:w="0" w:type="dxa"/>
            <w:right w:w="108" w:type="dxa"/>
          </w:tblCellMar>
        </w:tblPrEx>
        <w:trPr>
          <w:trHeight w:val="1243" w:hRule="atLeast"/>
        </w:trPr>
        <w:tc>
          <w:tcPr>
            <w:tcW w:w="12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来宾情况</w:t>
            </w:r>
          </w:p>
        </w:tc>
        <w:tc>
          <w:tcPr>
            <w:tcW w:w="23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主客姓名</w:t>
            </w:r>
          </w:p>
        </w:tc>
        <w:tc>
          <w:tcPr>
            <w:tcW w:w="31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来客人数</w:t>
            </w:r>
          </w:p>
        </w:tc>
        <w:tc>
          <w:tcPr>
            <w:tcW w:w="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43"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3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单位及职务</w:t>
            </w:r>
          </w:p>
        </w:tc>
        <w:tc>
          <w:tcPr>
            <w:tcW w:w="54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43"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3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公务活动事由</w:t>
            </w:r>
          </w:p>
        </w:tc>
        <w:tc>
          <w:tcPr>
            <w:tcW w:w="54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43" w:hRule="atLeast"/>
        </w:trPr>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经办人</w:t>
            </w:r>
          </w:p>
        </w:tc>
        <w:tc>
          <w:tcPr>
            <w:tcW w:w="1108" w:type="dxa"/>
            <w:gridSpan w:val="2"/>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秘书处</w:t>
            </w:r>
            <w:r>
              <w:rPr>
                <w:rFonts w:hint="eastAsia" w:ascii="宋体" w:hAnsi="宋体" w:eastAsia="宋体" w:cs="宋体"/>
                <w:color w:val="000000"/>
                <w:kern w:val="0"/>
                <w:sz w:val="20"/>
                <w:szCs w:val="20"/>
              </w:rPr>
              <w:t>审核</w:t>
            </w:r>
          </w:p>
        </w:tc>
        <w:tc>
          <w:tcPr>
            <w:tcW w:w="20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负责人审批</w:t>
            </w:r>
          </w:p>
        </w:tc>
        <w:tc>
          <w:tcPr>
            <w:tcW w:w="20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43" w:hRule="atLeast"/>
        </w:trPr>
        <w:tc>
          <w:tcPr>
            <w:tcW w:w="237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接待地点</w:t>
            </w:r>
          </w:p>
        </w:tc>
        <w:tc>
          <w:tcPr>
            <w:tcW w:w="22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时间</w:t>
            </w:r>
          </w:p>
        </w:tc>
        <w:tc>
          <w:tcPr>
            <w:tcW w:w="12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接待标准</w:t>
            </w:r>
          </w:p>
        </w:tc>
        <w:tc>
          <w:tcPr>
            <w:tcW w:w="9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43" w:hRule="atLeast"/>
        </w:trPr>
        <w:tc>
          <w:tcPr>
            <w:tcW w:w="23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2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公务活动总人数</w:t>
            </w:r>
          </w:p>
        </w:tc>
        <w:tc>
          <w:tcPr>
            <w:tcW w:w="9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43" w:hRule="atLeast"/>
        </w:trPr>
        <w:tc>
          <w:tcPr>
            <w:tcW w:w="23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2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公务活动总费用</w:t>
            </w:r>
          </w:p>
        </w:tc>
        <w:tc>
          <w:tcPr>
            <w:tcW w:w="9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915" w:hRule="atLeast"/>
        </w:trPr>
        <w:tc>
          <w:tcPr>
            <w:tcW w:w="9017" w:type="dxa"/>
            <w:gridSpan w:val="16"/>
            <w:tcBorders>
              <w:top w:val="single" w:color="auto" w:sz="4" w:space="0"/>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p>
        </w:tc>
      </w:tr>
    </w:tbl>
    <w:tbl>
      <w:tblPr>
        <w:tblStyle w:val="6"/>
        <w:tblpPr w:leftFromText="180" w:rightFromText="180" w:vertAnchor="text" w:horzAnchor="page" w:tblpX="1897" w:tblpY="309"/>
        <w:tblOverlap w:val="never"/>
        <w:tblW w:w="8262" w:type="dxa"/>
        <w:tblInd w:w="0" w:type="dxa"/>
        <w:tblLayout w:type="autofit"/>
        <w:tblCellMar>
          <w:top w:w="0" w:type="dxa"/>
          <w:left w:w="108" w:type="dxa"/>
          <w:bottom w:w="0" w:type="dxa"/>
          <w:right w:w="108" w:type="dxa"/>
        </w:tblCellMar>
      </w:tblPr>
      <w:tblGrid>
        <w:gridCol w:w="1892"/>
        <w:gridCol w:w="575"/>
        <w:gridCol w:w="287"/>
        <w:gridCol w:w="907"/>
        <w:gridCol w:w="1420"/>
        <w:gridCol w:w="153"/>
        <w:gridCol w:w="3028"/>
      </w:tblGrid>
      <w:tr>
        <w:tblPrEx>
          <w:tblCellMar>
            <w:top w:w="0" w:type="dxa"/>
            <w:left w:w="108" w:type="dxa"/>
            <w:bottom w:w="0" w:type="dxa"/>
            <w:right w:w="108" w:type="dxa"/>
          </w:tblCellMar>
        </w:tblPrEx>
        <w:trPr>
          <w:wAfter w:w="0" w:type="auto"/>
          <w:trHeight w:val="887" w:hRule="atLeast"/>
        </w:trPr>
        <w:tc>
          <w:tcPr>
            <w:tcW w:w="8262" w:type="dxa"/>
            <w:gridSpan w:val="7"/>
            <w:tcBorders>
              <w:top w:val="nil"/>
              <w:left w:val="nil"/>
              <w:bottom w:val="nil"/>
              <w:right w:val="nil"/>
            </w:tcBorders>
            <w:shd w:val="clear" w:color="auto" w:fill="auto"/>
            <w:noWrap/>
            <w:vAlign w:val="center"/>
          </w:tcPr>
          <w:p>
            <w:pPr>
              <w:widowControl/>
              <w:jc w:val="both"/>
              <w:rPr>
                <w:rFonts w:hint="eastAsia" w:ascii="宋体" w:hAnsi="宋体" w:eastAsia="宋体" w:cs="宋体"/>
                <w:b/>
                <w:bCs/>
                <w:color w:val="000000"/>
                <w:kern w:val="0"/>
                <w:sz w:val="28"/>
                <w:szCs w:val="28"/>
                <w:lang w:val="en-US" w:eastAsia="zh-CN"/>
              </w:rPr>
            </w:pPr>
          </w:p>
          <w:p>
            <w:pPr>
              <w:widowControl/>
              <w:jc w:val="both"/>
              <w:rPr>
                <w:rFonts w:hint="eastAsia" w:ascii="宋体" w:hAnsi="宋体" w:eastAsia="宋体" w:cs="宋体"/>
                <w:b/>
                <w:bCs/>
                <w:color w:val="000000"/>
                <w:kern w:val="0"/>
                <w:sz w:val="28"/>
                <w:szCs w:val="28"/>
                <w:lang w:val="en-US" w:eastAsia="zh-CN"/>
              </w:rPr>
            </w:pPr>
          </w:p>
          <w:p>
            <w:pPr>
              <w:widowControl/>
              <w:jc w:val="both"/>
              <w:rPr>
                <w:rFonts w:hint="eastAsia" w:ascii="宋体" w:hAnsi="宋体" w:eastAsia="宋体" w:cs="宋体"/>
                <w:b/>
                <w:bCs/>
                <w:color w:val="000000"/>
                <w:kern w:val="0"/>
                <w:sz w:val="28"/>
                <w:szCs w:val="28"/>
                <w:lang w:val="en-US" w:eastAsia="zh-CN"/>
              </w:rPr>
            </w:pPr>
          </w:p>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会议（培训）申请表</w:t>
            </w:r>
          </w:p>
        </w:tc>
      </w:tr>
      <w:tr>
        <w:tblPrEx>
          <w:tblCellMar>
            <w:top w:w="0" w:type="dxa"/>
            <w:left w:w="108" w:type="dxa"/>
            <w:bottom w:w="0" w:type="dxa"/>
            <w:right w:w="108" w:type="dxa"/>
          </w:tblCellMar>
        </w:tblPrEx>
        <w:trPr>
          <w:wAfter w:w="0" w:type="auto"/>
          <w:trHeight w:val="544" w:hRule="atLeast"/>
        </w:trPr>
        <w:tc>
          <w:tcPr>
            <w:tcW w:w="189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57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8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90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573"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3028"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会议（培训）名称</w:t>
            </w:r>
          </w:p>
        </w:tc>
        <w:tc>
          <w:tcPr>
            <w:tcW w:w="3189" w:type="dxa"/>
            <w:gridSpan w:val="4"/>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会议（培训）地点</w:t>
            </w:r>
          </w:p>
        </w:tc>
      </w:tr>
      <w:tr>
        <w:tblPrEx>
          <w:tblCellMar>
            <w:top w:w="0" w:type="dxa"/>
            <w:left w:w="108" w:type="dxa"/>
            <w:bottom w:w="0" w:type="dxa"/>
            <w:right w:w="108" w:type="dxa"/>
          </w:tblCellMar>
        </w:tblPrEx>
        <w:trPr>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会议（培训）时间</w:t>
            </w:r>
          </w:p>
        </w:tc>
        <w:tc>
          <w:tcPr>
            <w:tcW w:w="3189" w:type="dxa"/>
            <w:gridSpan w:val="4"/>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参加会议（培训）人数</w:t>
            </w: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标准</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实际报销</w:t>
            </w:r>
            <w:r>
              <w:rPr>
                <w:rFonts w:hint="eastAsia" w:ascii="宋体" w:hAnsi="宋体" w:eastAsia="宋体" w:cs="宋体"/>
                <w:color w:val="000000"/>
                <w:kern w:val="0"/>
                <w:sz w:val="20"/>
                <w:szCs w:val="20"/>
              </w:rPr>
              <w:t>金额</w:t>
            </w: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就餐（早）</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中、晚餐</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住宿费</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资料费</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场地费</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师资费</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wAfter w:w="0" w:type="auto"/>
          <w:trHeight w:val="910" w:hRule="atLeast"/>
        </w:trPr>
        <w:tc>
          <w:tcPr>
            <w:tcW w:w="18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合计</w:t>
            </w:r>
          </w:p>
        </w:tc>
        <w:tc>
          <w:tcPr>
            <w:tcW w:w="31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wAfter w:w="0" w:type="auto"/>
          <w:trHeight w:val="1304" w:hRule="atLeast"/>
        </w:trPr>
        <w:tc>
          <w:tcPr>
            <w:tcW w:w="18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秘书处</w:t>
            </w:r>
            <w:r>
              <w:rPr>
                <w:rFonts w:hint="eastAsia" w:ascii="宋体" w:hAnsi="宋体" w:eastAsia="宋体" w:cs="宋体"/>
                <w:color w:val="000000"/>
                <w:kern w:val="0"/>
                <w:sz w:val="20"/>
                <w:szCs w:val="20"/>
              </w:rPr>
              <w:t>审核</w:t>
            </w:r>
          </w:p>
        </w:tc>
        <w:tc>
          <w:tcPr>
            <w:tcW w:w="17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签字：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月   日</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负责人审批</w:t>
            </w:r>
          </w:p>
        </w:tc>
        <w:tc>
          <w:tcPr>
            <w:tcW w:w="31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签字：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 xml:space="preserve">月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 xml:space="preserve"> 日</w:t>
            </w:r>
          </w:p>
        </w:tc>
      </w:tr>
    </w:tbl>
    <w:p>
      <w:pPr>
        <w:widowControl/>
        <w:jc w:val="left"/>
        <w:rPr>
          <w:rFonts w:ascii="仿宋" w:hAnsi="仿宋" w:eastAsia="仿宋" w:cs="仿宋"/>
          <w:kern w:val="0"/>
          <w:sz w:val="28"/>
          <w:szCs w:val="28"/>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AF"/>
    <w:rsid w:val="00051F78"/>
    <w:rsid w:val="000566EA"/>
    <w:rsid w:val="000617EE"/>
    <w:rsid w:val="000646B7"/>
    <w:rsid w:val="0008134C"/>
    <w:rsid w:val="0012411B"/>
    <w:rsid w:val="00145A24"/>
    <w:rsid w:val="00152C1A"/>
    <w:rsid w:val="00183547"/>
    <w:rsid w:val="001B18C5"/>
    <w:rsid w:val="001D12F1"/>
    <w:rsid w:val="001E343F"/>
    <w:rsid w:val="00204692"/>
    <w:rsid w:val="002201D6"/>
    <w:rsid w:val="002210DF"/>
    <w:rsid w:val="002441B1"/>
    <w:rsid w:val="00244945"/>
    <w:rsid w:val="00245CC3"/>
    <w:rsid w:val="00252B1C"/>
    <w:rsid w:val="0028366F"/>
    <w:rsid w:val="002949C1"/>
    <w:rsid w:val="0032271B"/>
    <w:rsid w:val="0038712F"/>
    <w:rsid w:val="003B708E"/>
    <w:rsid w:val="00447FDF"/>
    <w:rsid w:val="004545D4"/>
    <w:rsid w:val="0045555C"/>
    <w:rsid w:val="004E6215"/>
    <w:rsid w:val="00503810"/>
    <w:rsid w:val="005B2DFE"/>
    <w:rsid w:val="005C682D"/>
    <w:rsid w:val="005F091A"/>
    <w:rsid w:val="005F697C"/>
    <w:rsid w:val="006743DB"/>
    <w:rsid w:val="006F0646"/>
    <w:rsid w:val="007707B5"/>
    <w:rsid w:val="00793794"/>
    <w:rsid w:val="00794111"/>
    <w:rsid w:val="007B5600"/>
    <w:rsid w:val="007F67AA"/>
    <w:rsid w:val="00853224"/>
    <w:rsid w:val="00865CA7"/>
    <w:rsid w:val="008B0231"/>
    <w:rsid w:val="008B3BDB"/>
    <w:rsid w:val="008F2236"/>
    <w:rsid w:val="00904CCF"/>
    <w:rsid w:val="00914F40"/>
    <w:rsid w:val="009537FB"/>
    <w:rsid w:val="009A67BB"/>
    <w:rsid w:val="009B0DEB"/>
    <w:rsid w:val="009C3D92"/>
    <w:rsid w:val="00A833AA"/>
    <w:rsid w:val="00A93192"/>
    <w:rsid w:val="00AB7C01"/>
    <w:rsid w:val="00B335F5"/>
    <w:rsid w:val="00B97196"/>
    <w:rsid w:val="00BB6889"/>
    <w:rsid w:val="00BC0717"/>
    <w:rsid w:val="00BC2BE9"/>
    <w:rsid w:val="00BF6941"/>
    <w:rsid w:val="00C32BA1"/>
    <w:rsid w:val="00C63F15"/>
    <w:rsid w:val="00C83844"/>
    <w:rsid w:val="00C931A1"/>
    <w:rsid w:val="00CB6EDC"/>
    <w:rsid w:val="00D054C9"/>
    <w:rsid w:val="00D23F90"/>
    <w:rsid w:val="00D43C98"/>
    <w:rsid w:val="00D8761C"/>
    <w:rsid w:val="00D94005"/>
    <w:rsid w:val="00DB32AF"/>
    <w:rsid w:val="00DB5E87"/>
    <w:rsid w:val="00DE57BD"/>
    <w:rsid w:val="00DF71BD"/>
    <w:rsid w:val="00E1478D"/>
    <w:rsid w:val="00E7733D"/>
    <w:rsid w:val="00F35106"/>
    <w:rsid w:val="00F40346"/>
    <w:rsid w:val="00F4530F"/>
    <w:rsid w:val="00F62E8B"/>
    <w:rsid w:val="00F6343B"/>
    <w:rsid w:val="00F64A3E"/>
    <w:rsid w:val="00F84C72"/>
    <w:rsid w:val="00FA4B08"/>
    <w:rsid w:val="26BB1B40"/>
    <w:rsid w:val="3E15286C"/>
    <w:rsid w:val="4AB541F6"/>
    <w:rsid w:val="66A0410A"/>
    <w:rsid w:val="67C44FBA"/>
    <w:rsid w:val="6E55134B"/>
    <w:rsid w:val="7EED7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pPr>
      <w:spacing w:after="12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正文文本 Char"/>
    <w:basedOn w:val="7"/>
    <w:link w:val="2"/>
    <w:qFormat/>
    <w:uiPriority w:val="99"/>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普通(网站)1"/>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542</Words>
  <Characters>3096</Characters>
  <Lines>25</Lines>
  <Paragraphs>7</Paragraphs>
  <TotalTime>34</TotalTime>
  <ScaleCrop>false</ScaleCrop>
  <LinksUpToDate>false</LinksUpToDate>
  <CharactersWithSpaces>3631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2020-03-27T09:45:00Z</dcterms:created>
  <dc:creator>think</dc:creator>
  <cp:lastModifiedBy>mzjcwk</cp:lastModifiedBy>
  <dcterms:modified xsi:type="dcterms:W3CDTF">2020-04-16T09:03:34Z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